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49.png" ContentType="image/png"/>
  <Override PartName="/word/media/rId29.png" ContentType="image/png"/>
  <Override PartName="/word/media/rId35.jpg" ContentType="image/jpeg"/>
  <Override PartName="/word/media/rId41.png" ContentType="image/png"/>
  <Override PartName="/word/media/rId53.jpg" ContentType="image/jpeg"/>
  <Override PartName="/word/media/rId69.jpg" ContentType="image/jpeg"/>
  <Override PartName="/word/media/rId80.png" ContentType="image/png"/>
  <Override PartName="/word/media/rId88.png" ContentType="image/png"/>
  <Override PartName="/word/media/rId92.png" ContentType="image/png"/>
  <Override PartName="/word/media/rId111.png" ContentType="image/png"/>
  <Override PartName="/word/media/rId116.jpg" ContentType="image/jpeg"/>
  <Override PartName="/word/media/rId121.jpg" ContentType="image/jpeg"/>
  <Override PartName="/word/media/rId125.jpg" ContentType="image/jpeg"/>
  <Override PartName="/word/media/rId133.jpg" ContentType="image/jpeg"/>
  <Override PartName="/word/media/rId147.png" ContentType="image/png"/>
  <Override PartName="/word/media/rId151.png" ContentType="image/png"/>
  <Override PartName="/word/media/rId163.png" ContentType="image/png"/>
  <Override PartName="/word/media/rId168.jpg" ContentType="image/jpeg"/>
  <Override PartName="/word/media/rId172.jpg" ContentType="image/jpeg"/>
  <Override PartName="/word/media/rId175.jpg" ContentType="image/jpeg"/>
  <Override PartName="/word/media/rId179.png" ContentType="image/png"/>
  <Override PartName="/word/media/rId183.png" ContentType="image/png"/>
  <Override PartName="/word/media/rId188.png" ContentType="image/png"/>
  <Override PartName="/word/media/rId19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06</w:t>
      </w:r>
      <w:r>
        <w:t xml:space="preserve"> </w:t>
      </w:r>
      <w:r>
        <w:t xml:space="preserve">December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28"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who redrew the graphs and contributed original illustrations. Many thanks also to Adam Mazel of Indiana University Libraries for preparing the document for online publication.</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3" w:name="copyright-and-license"/>
    <w:p>
      <w:pPr>
        <w:pStyle w:val="Heading2"/>
      </w:pPr>
      <w:r>
        <w:t xml:space="preserve">Copyright and License</w:t>
      </w:r>
    </w:p>
    <w:p>
      <w:pPr>
        <w:pStyle w:val="FirstParagraph"/>
      </w:pPr>
      <w:r>
        <w:t xml:space="preserve">Copyright Curtis M. Lively 2023</w:t>
      </w:r>
    </w:p>
    <w:p>
      <w:pPr>
        <w:pStyle w:val="BodyText"/>
      </w:pPr>
      <w:r>
        <w:t xml:space="preserve">Through the Looking Glass: I. Why Cross-Fertilize?</w:t>
      </w:r>
      <w:r>
        <w:t xml:space="preserve"> </w:t>
      </w:r>
      <w:r>
        <w:t xml:space="preserve">by</w:t>
      </w:r>
      <w:r>
        <w:t xml:space="preserve"> </w:t>
      </w:r>
      <w:r>
        <w:t xml:space="preserve">Curtis M. Lively</w:t>
      </w:r>
      <w:r>
        <w:t xml:space="preserve"> </w:t>
      </w:r>
      <w:r>
        <w:t xml:space="preserve">is licensed under a</w:t>
      </w:r>
      <w:r>
        <w:t xml:space="preserve"> </w:t>
      </w:r>
      <w:r>
        <w:t xml:space="preserve">Creative Commons Attribution 4.0 International License</w:t>
      </w:r>
      <w:r>
        <w:t xml:space="preserve">.</w:t>
      </w:r>
    </w:p>
    <w:bookmarkEnd w:id="23"/>
    <w:bookmarkStart w:id="25" w:name="publisher"/>
    <w:p>
      <w:pPr>
        <w:pStyle w:val="Heading2"/>
      </w:pPr>
      <w:r>
        <w:t xml:space="preserve">Publisher</w:t>
      </w:r>
    </w:p>
    <w:p>
      <w:pPr>
        <w:pStyle w:val="FirstParagraph"/>
      </w:pPr>
      <w:hyperlink r:id="rId24">
        <w:r>
          <w:rPr>
            <w:rStyle w:val="Hyperlink"/>
          </w:rPr>
          <w:t xml:space="preserve">Indiana University Libraries Publishing</w:t>
        </w:r>
      </w:hyperlink>
    </w:p>
    <w:bookmarkEnd w:id="25"/>
    <w:bookmarkStart w:id="27" w:name="how-to-cite"/>
    <w:p>
      <w:pPr>
        <w:pStyle w:val="Heading2"/>
      </w:pPr>
      <w:r>
        <w:t xml:space="preserve">How to Cite</w:t>
      </w:r>
    </w:p>
    <w:p>
      <w:pPr>
        <w:pStyle w:val="FirstParagraph"/>
      </w:pPr>
      <w:r>
        <w:t xml:space="preserve">Lively, C.M. (2023).</w:t>
      </w:r>
      <w:r>
        <w:t xml:space="preserve"> </w:t>
      </w:r>
      <w:hyperlink r:id="rId26">
        <w:r>
          <w:rPr>
            <w:rStyle w:val="Hyperlink"/>
            <w:iCs/>
            <w:i/>
          </w:rPr>
          <w:t xml:space="preserve">Through the Looking Glass: I. Why Cross-Fertilize?</w:t>
        </w:r>
      </w:hyperlink>
      <w:r>
        <w:t xml:space="preserve"> </w:t>
      </w:r>
      <w:r>
        <w:t xml:space="preserve">Indiana University Libraries Publishing, Bloomington.</w:t>
      </w:r>
    </w:p>
    <w:bookmarkEnd w:id="27"/>
    <w:bookmarkEnd w:id="28"/>
    <w:bookmarkStart w:id="68" w:name="sec-why-sex"/>
    <w:p>
      <w:pPr>
        <w:pStyle w:val="Heading1"/>
      </w:pPr>
      <w:r>
        <w:t xml:space="preserve">1. Why Sex?</w:t>
      </w:r>
    </w:p>
    <w:p>
      <w:pPr>
        <w:pStyle w:val="FirstParagraph"/>
      </w:pPr>
      <w:r>
        <w:drawing>
          <wp:inline>
            <wp:extent cx="2064280" cy="2608639"/>
            <wp:effectExtent b="0" l="0" r="0" t="0"/>
            <wp:docPr descr="" title="" id="30" name="Picture"/>
            <a:graphic>
              <a:graphicData uri="http://schemas.openxmlformats.org/drawingml/2006/picture">
                <pic:pic>
                  <pic:nvPicPr>
                    <pic:cNvPr descr="images/fig1-1.png" id="31" name="Picture"/>
                    <pic:cNvPicPr>
                      <a:picLocks noChangeArrowheads="1" noChangeAspect="1"/>
                    </pic:cNvPicPr>
                  </pic:nvPicPr>
                  <pic:blipFill>
                    <a:blip r:embed="rId29"/>
                    <a:stretch>
                      <a:fillRect/>
                    </a:stretch>
                  </pic:blipFill>
                  <pic:spPr bwMode="auto">
                    <a:xfrm>
                      <a:off x="0" y="0"/>
                      <a:ext cx="2064280" cy="2608639"/>
                    </a:xfrm>
                    <a:prstGeom prst="rect">
                      <a:avLst/>
                    </a:prstGeom>
                    <a:noFill/>
                    <a:ln w="9525">
                      <a:noFill/>
                      <a:headEnd/>
                      <a:tailEnd/>
                    </a:ln>
                  </pic:spPr>
                </pic:pic>
              </a:graphicData>
            </a:graphic>
          </wp:inline>
        </w:drawing>
      </w:r>
    </w:p>
    <w:bookmarkStart w:id="32"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(1975)</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 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on evolutionary biology 40-plus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(1970)</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32"/>
    <w:bookmarkStart w:id="61"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 Lehtonen</w:t>
      </w:r>
      <w:r>
        <w:t xml:space="preserve"> </w:t>
      </w:r>
      <w:r>
        <w:rPr>
          <w:iCs/>
          <w:i/>
        </w:rPr>
        <w:t xml:space="preserve">et al.</w:t>
      </w:r>
      <w:r>
        <w:t xml:space="preserve"> </w:t>
      </w:r>
      <w:r>
        <w:t xml:space="preserve">2012)</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34"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(1975)</w:t>
      </w:r>
      <w:r>
        <w:t xml:space="preserve">. His idea was simply that females are only half as related to their outcrossed offspring as they are to their self-fertilized or parthenogenetic offspring.</w:t>
      </w:r>
      <w:r>
        <w:rPr>
          <w:rStyle w:val="FootnoteReference"/>
        </w:rPr>
        <w:footnoteReference w:id="33"/>
      </w:r>
      <w:r>
        <w:t xml:space="preserve"> </w:t>
      </w:r>
      <w:r>
        <w:t xml:space="preserve">(See</w:t>
      </w:r>
      <w:r>
        <w:t xml:space="preserve"> </w:t>
      </w:r>
      <w:hyperlink w:anchor="callout-1">
        <w:r>
          <w:rPr>
            <w:rStyle w:val="Hyperlink"/>
          </w:rPr>
          <w:t xml:space="preserve">Box 1.1</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(1941)</w:t>
      </w:r>
      <w:r>
        <w:t xml:space="preserve">. So, why cross-fertilize? The persistence of cross-fertilization despite the cost of meiosis formed a paradox. This paradox created the crisis that Williams saw in evolutionary biology.</w:t>
      </w:r>
    </w:p>
    <w:bookmarkEnd w:id="34"/>
    <w:bookmarkStart w:id="40"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(1971, 1978)</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(Lively 1996)</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38" w:name="fig-1.1"/>
          <w:p>
            <w:pPr>
              <w:pStyle w:val="Compact"/>
              <w:jc w:val="center"/>
            </w:pPr>
            <w:r>
              <w:drawing>
                <wp:inline>
                  <wp:extent cx="3721608" cy="4559808"/>
                  <wp:effectExtent b="0" l="0" r="0" t="0"/>
                  <wp:docPr descr="" title="" id="36" name="Picture"/>
                  <a:graphic>
                    <a:graphicData uri="http://schemas.openxmlformats.org/drawingml/2006/picture">
                      <pic:pic>
                        <pic:nvPicPr>
                          <pic:cNvPr descr="images/fig1-2.jpg" id="37" name="Picture"/>
                          <pic:cNvPicPr>
                            <a:picLocks noChangeArrowheads="1" noChangeAspect="1"/>
                          </pic:cNvPicPr>
                        </pic:nvPicPr>
                        <pic:blipFill>
                          <a:blip r:embed="rId35"/>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(Whitton</w:t>
            </w:r>
            <w:r>
              <w:t xml:space="preserve"> </w:t>
            </w:r>
            <w:r>
              <w:rPr>
                <w:iCs/>
                <w:i/>
              </w:rPr>
              <w:t xml:space="preserve">et al.</w:t>
            </w:r>
            <w:r>
              <w:t xml:space="preserve"> </w:t>
            </w:r>
            <w:r>
              <w:t xml:space="preserve">2008)</w:t>
            </w:r>
            <w:r>
              <w:t xml:space="preserve"> </w:t>
            </w:r>
            <w:r>
              <w:t xml:space="preserve">and animals</w:t>
            </w:r>
            <w:r>
              <w:t xml:space="preserve"> </w:t>
            </w:r>
            <w:r>
              <w:t xml:space="preserve">(Vrijenhoek 1998)</w:t>
            </w:r>
            <w:r>
              <w:t xml:space="preserve">. Hence the paradox. Why is sexual reproduction so costly and yet so common?</w:t>
            </w:r>
          </w:p>
          <w:bookmarkEnd w:id="38"/>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39"/>
      </w:r>
      <w:r>
        <w:t xml:space="preserve"> </w:t>
      </w:r>
      <w:r>
        <w:t xml:space="preserve">His model only assumes that sexual and asexual females have equal fecundities and survivorship probabilities (see</w:t>
      </w:r>
      <w:r>
        <w:t xml:space="preserve"> </w:t>
      </w:r>
      <w:hyperlink w:anchor="callout-2">
        <w:r>
          <w:rPr>
            <w:rStyle w:val="Hyperlink"/>
          </w:rPr>
          <w:t xml:space="preserve">Box 1.2</w:t>
        </w:r>
      </w:hyperlink>
      <w:r>
        <w:t xml:space="preserve">). Under this assumption, a very rare clone would double in frequency in the next generation. Maynard Smith called this doubling-when-rare the two-fold cost of sex.</w:t>
      </w:r>
    </w:p>
    <w:bookmarkEnd w:id="40"/>
    <w:bookmarkStart w:id="47"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(Lively &amp; Lloyd 1990)</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46" w:name="fig-1.2"/>
          <w:p>
            <w:pPr>
              <w:pStyle w:val="Compact"/>
              <w:jc w:val="center"/>
            </w:pPr>
            <w:r>
              <w:drawing>
                <wp:inline>
                  <wp:extent cx="3318140" cy="4734084"/>
                  <wp:effectExtent b="0" l="0" r="0" t="0"/>
                  <wp:docPr descr="" title="" id="42" name="Picture"/>
                  <a:graphic>
                    <a:graphicData uri="http://schemas.openxmlformats.org/drawingml/2006/picture">
                      <pic:pic>
                        <pic:nvPicPr>
                          <pic:cNvPr descr="images/fig1-3_hr.png" id="43" name="Picture"/>
                          <pic:cNvPicPr>
                            <a:picLocks noChangeArrowheads="1" noChangeAspect="1"/>
                          </pic:cNvPicPr>
                        </pic:nvPicPr>
                        <pic:blipFill>
                          <a:blip r:embed="rId41"/>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(Lively 2009)</w:t>
            </w:r>
            <w:r>
              <w:t xml:space="preserve">.</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44">
              <w:r>
                <w:rPr>
                  <w:rStyle w:val="Hyperlink"/>
                </w:rPr>
                <w:t xml:space="preserve">here</w:t>
              </w:r>
            </w:hyperlink>
            <w:r>
              <w:t xml:space="preserve">. The interactive graph can also be run</w:t>
            </w:r>
            <w:r>
              <w:t xml:space="preserve"> </w:t>
            </w:r>
            <w:hyperlink r:id="rId45">
              <w:r>
                <w:rPr>
                  <w:rStyle w:val="Hyperlink"/>
                </w:rPr>
                <w:t xml:space="preserve">here</w:t>
              </w:r>
            </w:hyperlink>
            <w:r>
              <w:t xml:space="preserve"> </w:t>
            </w:r>
            <w:r>
              <w:t xml:space="preserve">for users without R.</w:t>
            </w:r>
          </w:p>
          <w:bookmarkEnd w:id="46"/>
        </w:tc>
      </w:tr>
    </w:tbl>
    <w:bookmarkEnd w:id="47"/>
    <w:bookmarkStart w:id="52"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(1971)</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48"/>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0" name="Picture"/>
                  <a:graphic>
                    <a:graphicData uri="http://schemas.openxmlformats.org/drawingml/2006/picture">
                      <pic:pic>
                        <pic:nvPicPr>
                          <pic:cNvPr descr="C:\Program Files\Quarto\share\formats\docx\tip.png" id="51"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1.1</w:t>
            </w:r>
          </w:p>
          <w:p>
            <w:pPr>
              <w:pStyle w:val="BodyText"/>
            </w:pPr>
            <w:pPr>
              <w:spacing w:before="16"/>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pPr>
              <w:spacing w:after="16"/>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tc>
      </w:tr>
    </w:tbl>
    <w:bookmarkEnd w:id="52"/>
    <w:bookmarkStart w:id="60"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(Dagg 2016; reviews in Meirmans 2009)</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(1862)</w:t>
      </w:r>
      <w:r>
        <w:t xml:space="preserve">. In discussing these results, Darwin speculated that the two morphs may have evolved to insure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 w:name="fig-1.3"/>
          <w:p>
            <w:pPr>
              <w:pStyle w:val="Compact"/>
              <w:jc w:val="center"/>
            </w:pPr>
            <w:r>
              <w:drawing>
                <wp:inline>
                  <wp:extent cx="5943600" cy="2650146"/>
                  <wp:effectExtent b="0" l="0" r="0" t="0"/>
                  <wp:docPr descr="" title="" id="54" name="Picture"/>
                  <a:graphic>
                    <a:graphicData uri="http://schemas.openxmlformats.org/drawingml/2006/picture">
                      <pic:pic>
                        <pic:nvPicPr>
                          <pic:cNvPr descr="images/fig1-4.jpg" id="55" name="Picture"/>
                          <pic:cNvPicPr>
                            <a:picLocks noChangeArrowheads="1" noChangeAspect="1"/>
                          </pic:cNvPicPr>
                        </pic:nvPicPr>
                        <pic:blipFill>
                          <a:blip r:embed="rId53"/>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(1862)</w:t>
            </w:r>
            <w:r>
              <w:t xml:space="preserve"> </w:t>
            </w:r>
            <w:r>
              <w:t xml:space="preserve">by ZMD.</w:t>
            </w:r>
          </w:p>
          <w:bookmarkEnd w:id="56"/>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57"/>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 Bell 1982)</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(1862)</w:t>
      </w:r>
      <w:r>
        <w:t xml:space="preserve"> </w:t>
      </w:r>
      <w:r>
        <w:t xml:space="preserve">paper on</w:t>
      </w:r>
      <w:r>
        <w:t xml:space="preserve"> </w:t>
      </w:r>
      <w:r>
        <w:rPr>
          <w:iCs/>
          <w:i/>
        </w:rPr>
        <w:t xml:space="preserve">Primula</w:t>
      </w:r>
      <w:r>
        <w:t xml:space="preserve">, Carl Theodor Ernst von Siebold</w:t>
      </w:r>
      <w:r>
        <w:t xml:space="preserve"> </w:t>
      </w:r>
      <w:r>
        <w:t xml:space="preserve">(1856)</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(Darwin n.d.)</w:t>
      </w:r>
      <w:r>
        <w:t xml:space="preserve">.</w:t>
      </w:r>
    </w:p>
    <w:p>
      <w:pPr>
        <w:pStyle w:val="BodyText"/>
      </w:pPr>
      <w:r>
        <w:t xml:space="preserve">However, the discovery of parthenogenesis was met with some hostility.</w:t>
      </w:r>
      <w:r>
        <w:rPr>
          <w:rStyle w:val="FootnoteReference"/>
        </w:rPr>
        <w:footnoteReference w:id="58"/>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 1979)</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(1868)</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59"/>
      </w:r>
    </w:p>
    <w:p>
      <w:pPr>
        <w:pStyle w:val="BodyText"/>
      </w:pPr>
      <w:r>
        <w:t xml:space="preserve">Over 100 years later, W. D. Hamilton</w:t>
      </w:r>
      <w:r>
        <w:t xml:space="preserve"> </w:t>
      </w:r>
      <w:r>
        <w:t xml:space="preserve">(1975)</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(1976)</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0"/>
    <w:bookmarkEnd w:id="61"/>
    <w:bookmarkStart w:id="67" w:name="summary"/>
    <w:p>
      <w:pPr>
        <w:pStyle w:val="Heading2"/>
      </w:pPr>
      <w:r>
        <w:t xml:space="preserve">1.3 Summary</w:t>
      </w:r>
    </w:p>
    <w:p>
      <w:pPr>
        <w:numPr>
          <w:ilvl w:val="0"/>
          <w:numId w:val="1001"/>
        </w:numPr>
        <w:pStyle w:val="Compact"/>
      </w:pPr>
      <w:r>
        <w:t xml:space="preserve">Obligate sexual reproduction is subject to invasion and replacement by all-female asexual lineages that do not pay the cost of males.</w:t>
      </w:r>
    </w:p>
    <w:p>
      <w:pPr>
        <w:numPr>
          <w:ilvl w:val="0"/>
          <w:numId w:val="1001"/>
        </w:numPr>
        <w:pStyle w:val="Compact"/>
      </w:pPr>
      <w:r>
        <w:t xml:space="preserve">Obligate outcrossing in simultaneous hermaphrodites is subject to invasion and replacement by self-fertilization unless inbreeding depression is severe.</w:t>
      </w:r>
    </w:p>
    <w:p>
      <w:pPr>
        <w:numPr>
          <w:ilvl w:val="0"/>
          <w:numId w:val="1001"/>
        </w:numPr>
        <w:pStyle w:val="Compact"/>
      </w:pPr>
      <w:r>
        <w:t xml:space="preserve">The exchange of DNA between different parental chromosomes (recombination) is similarly paradoxical.</w:t>
      </w:r>
    </w:p>
    <w:p>
      <w:pPr>
        <w:numPr>
          <w:ilvl w:val="0"/>
          <w:numId w:val="1001"/>
        </w:numPr>
        <w:pStyle w:val="Compact"/>
      </w:pPr>
      <w:r>
        <w:t xml:space="preserve">Why then are recombination and cross-fertilization so common?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63" name="Picture"/>
                  <a:graphic>
                    <a:graphicData uri="http://schemas.openxmlformats.org/drawingml/2006/picture">
                      <pic:pic>
                        <pic:nvPicPr>
                          <pic:cNvPr descr="C:\Program Files\Quarto\share\formats\docx\note.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1.2</w:t>
            </w:r>
          </w:p>
          <w:p>
            <w:pPr>
              <w:pStyle w:val="BodyText"/>
            </w:pPr>
            <w:pPr>
              <w:spacing w:before="16"/>
            </w:pPr>
            <w:r>
              <w:t xml:space="preserve">Maynard Smith’s</w:t>
            </w:r>
            <w:r>
              <w:t xml:space="preserve"> </w:t>
            </w:r>
            <w:r>
              <w:t xml:space="preserve">(1978)</w:t>
            </w:r>
            <w:r>
              <w:t xml:space="preserve"> </w:t>
            </w:r>
            <w:r>
              <w:t xml:space="preserve">model showing the cost of producing males.</w:t>
            </w:r>
            <w:r>
              <w:rPr>
                <w:rStyle w:val="FootnoteReference"/>
              </w:rPr>
              <w:footnoteReference w:id="65"/>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66" w:name="tbl-t1t2"/>
                <w:p>
                  <w:pPr>
                    <w:jc w:val="center"/>
                  </w:pPr>
                  <w:pPr>
                    <w:jc w:val="start"/>
                    <w:spacing w:before="200"/>
                    <w:pStyle w:val="ImageCaption"/>
                  </w:pPr>
                  <w:r>
                    <w:t xml:space="preserve">Table 1.1: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66"/>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pPr>
              <w:spacing w:after="16"/>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tc>
      </w:tr>
    </w:tbl>
    <w:bookmarkEnd w:id="67"/>
    <w:bookmarkEnd w:id="68"/>
    <w:bookmarkStart w:id="115" w:name="sec-eco-hyp"/>
    <w:p>
      <w:pPr>
        <w:pStyle w:val="Heading1"/>
      </w:pPr>
      <w:r>
        <w:t xml:space="preserve">2. The Ecological Hypotheses</w:t>
      </w:r>
    </w:p>
    <w:p>
      <w:pPr>
        <w:pStyle w:val="FirstParagraph"/>
      </w:pPr>
      <w:r>
        <w:drawing>
          <wp:inline>
            <wp:extent cx="3822191" cy="2545080"/>
            <wp:effectExtent b="0" l="0" r="0" t="0"/>
            <wp:docPr descr="" title="" id="70" name="Picture"/>
            <a:graphic>
              <a:graphicData uri="http://schemas.openxmlformats.org/drawingml/2006/picture">
                <pic:pic>
                  <pic:nvPicPr>
                    <pic:cNvPr descr="images/fig2-1.jpeg" id="71" name="Picture"/>
                    <pic:cNvPicPr>
                      <a:picLocks noChangeArrowheads="1" noChangeAspect="1"/>
                    </pic:cNvPicPr>
                  </pic:nvPicPr>
                  <pic:blipFill>
                    <a:blip r:embed="rId69"/>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(Kondrashov 1993)</w:t>
      </w:r>
      <w:r>
        <w:t xml:space="preserve">. In what follows, I first focus on the ecological hypotheses. The ideas underlying these hypotheses provide a handle for understanding some of the foundational concepts in evolutionary ecology.</w:t>
      </w:r>
    </w:p>
    <w:bookmarkStart w:id="77" w:name="the-lottery-model"/>
    <w:p>
      <w:pPr>
        <w:pStyle w:val="Heading2"/>
      </w:pPr>
      <w:r>
        <w:t xml:space="preserve">2.1 The Lottery Model</w:t>
      </w:r>
    </w:p>
    <w:p>
      <w:pPr>
        <w:pStyle w:val="FirstParagraph"/>
      </w:pPr>
      <w:r>
        <w:t xml:space="preserve">As part of his book on the evolution of sex, Williams</w:t>
      </w:r>
      <w:r>
        <w:t xml:space="preserve"> </w:t>
      </w:r>
      <w:r>
        <w:t xml:space="preserve">(1975)</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 Bell 1982)</w:t>
      </w:r>
      <w:r>
        <w:t xml:space="preserve">, which is a more descriptive phrase.</w:t>
      </w:r>
      <w:r>
        <w:rPr>
          <w:rStyle w:val="FootnoteReference"/>
        </w:rPr>
        <w:footnoteReference w:id="72"/>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2"/>
        </w:numPr>
        <w:pStyle w:val="Compact"/>
      </w:pPr>
      <w:r>
        <w:t xml:space="preserve">plant a genetically variable crop, or</w:t>
      </w:r>
    </w:p>
    <w:p>
      <w:pPr>
        <w:numPr>
          <w:ilvl w:val="0"/>
          <w:numId w:val="1002"/>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 Philippi &amp; Seger 1989)</w:t>
      </w:r>
      <w:r>
        <w:t xml:space="preserve">. Suppose, for example, that we have the following data for both a monoculture and a genetically variable polyculture (in arbitrary units). Let’s assume that the variation in yield is driven by annual variation in abiotic factors such as temperature or precipitation. The effect of planting a polyculture (bet-hedging) can be estimated from the geometric mean, which incorporates the variation in yield over time.</w:t>
      </w:r>
    </w:p>
    <w:tbl>
      <w:tblPr>
        <w:tblStyle w:val="Table"/>
        <w:tblW w:type="pct" w:w="5000"/>
        <w:tblLook w:firstRow="0" w:lastRow="0" w:firstColumn="0" w:lastColumn="0" w:noHBand="0" w:noVBand="0" w:val="0000"/>
        <w:jc w:val="start"/>
        <w:tblLayout w:type="fixed"/>
      </w:tblPr>
      <w:tblGrid>
        <w:gridCol w:w="7920"/>
      </w:tblGrid>
      <w:tr>
        <w:tc>
          <w:tcPr/>
          <w:bookmarkStart w:id="75" w:name="tbl-bh"/>
          <w:p>
            <w:pPr>
              <w:jc w:val="center"/>
            </w:pPr>
            <w:pPr>
              <w:jc w:val="start"/>
              <w:spacing w:before="200"/>
              <w:pStyle w:val="ImageCaption"/>
            </w:pPr>
            <w:r>
              <w:t xml:space="preserve">Table 2.1: Bet Hedging</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pPr>
                </w:p>
              </w:tc>
              <w:tc>
                <w:tcPr/>
                <w:p>
                  <w:pPr>
                    <w:pStyle w:val="Compact"/>
                  </w:pPr>
                </w:p>
              </w:tc>
              <w:tc>
                <w:tcPr/>
                <w:p>
                  <w:pPr>
                    <w:pStyle w:val="Compact"/>
                  </w:pPr>
                </w:p>
              </w:tc>
            </w:tr>
            <w:tr>
              <w:tc>
                <w:tcPr/>
                <w:p>
                  <w:pPr>
                    <w:pStyle w:val="Compact"/>
                    <w:jc w:val="left"/>
                    <w:jc w:val="center"/>
                  </w:pPr>
                  <w:r>
                    <w:rPr>
                      <w:bCs/>
                      <w:b/>
                    </w:rPr>
                    <w:t xml:space="preserve">Arithmetic mean</w:t>
                  </w:r>
                </w:p>
              </w:tc>
              <w:tc>
                <w:tcPr/>
                <w:p>
                  <w:pPr>
                    <w:pStyle w:val="Compact"/>
                    <w:jc w:val="left"/>
                    <w:jc w:val="center"/>
                  </w:pPr>
                  <w:r>
                    <w:rPr>
                      <w:bCs/>
                      <w:b/>
                    </w:rP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73"/>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74"/>
                  </w:r>
                </w:p>
              </w:tc>
              <w:tc>
                <w:tcPr/>
                <w:p>
                  <w:pPr>
                    <w:pStyle w:val="Compact"/>
                    <w:jc w:val="left"/>
                    <w:jc w:val="center"/>
                  </w:pPr>
                  <w:r>
                    <w:t xml:space="preserve">184</w:t>
                  </w:r>
                </w:p>
              </w:tc>
              <w:tc>
                <w:tcPr/>
                <w:p>
                  <w:pPr>
                    <w:pStyle w:val="Compact"/>
                    <w:jc w:val="left"/>
                    <w:jc w:val="center"/>
                  </w:pPr>
                  <w:r>
                    <w:rPr>
                      <w:bCs/>
                      <w:b/>
                    </w:rP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rPr>
                      <w:bCs/>
                      <w:b/>
                    </w:rPr>
                    <w:t xml:space="preserve">219</w:t>
                  </w:r>
                </w:p>
              </w:tc>
            </w:tr>
          </w:tbl>
          <w:bookmarkEnd w:id="75"/>
          <w:p/>
        </w:tc>
      </w:tr>
    </w:tbl>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p>
      <w:pPr>
        <w:pStyle w:val="BodyText"/>
      </w:pPr>
      <w:r>
        <w:t xml:space="preserve">The effect of variance on the geometric mean (GM) can be seen by an approximation</w:t>
      </w:r>
      <w:r>
        <w:t xml:space="preserve"> </w:t>
      </w:r>
      <w:r>
        <w:t xml:space="preserve">(Stearns 2000)</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76"/>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77"/>
    <w:bookmarkStart w:id="86" w:name="X35c538c154f4b3900a349f3c4a4847f063e307f"/>
    <w:p>
      <w:pPr>
        <w:pStyle w:val="Heading2"/>
      </w:pPr>
      <w:r>
        <w:t xml:space="preserve">2.2 The Tangled Bank/Frozen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(Vrijenhoek 1979)</w:t>
      </w:r>
      <w:r>
        <w:t xml:space="preserve">. This kind of process could explain those situations in which sexual and asexual females coexist, which was a major advance.</w:t>
      </w:r>
      <w:r>
        <w:rPr>
          <w:rStyle w:val="FootnoteReference"/>
        </w:rPr>
        <w:footnoteReference w:id="78"/>
      </w:r>
    </w:p>
    <w:p>
      <w:pPr>
        <w:pStyle w:val="BodyText"/>
      </w:pPr>
      <w:r>
        <w:t xml:space="preserve">A conceptually similar model was independently developed by Graham Bell: the Tangled Bank Hypothesis</w:t>
      </w:r>
      <w:r>
        <w:t xml:space="preserve"> </w:t>
      </w:r>
      <w:r>
        <w:t xml:space="preserve">(1982)</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(1953)</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a">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(Wallace 1975)</w:t>
      </w:r>
      <w:r>
        <w:t xml:space="preserve">.</w:t>
      </w:r>
      <w:r>
        <w:rPr>
          <w:rStyle w:val="FootnoteReference"/>
        </w:rPr>
        <w:footnoteReference w:id="79"/>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3" w:name="fig-2-2"/>
          <w:p>
            <w:pPr>
              <w:pStyle w:val="Compact"/>
              <w:jc w:val="center"/>
            </w:pPr>
            <w:r>
              <w:drawing>
                <wp:inline>
                  <wp:extent cx="4642338" cy="4489428"/>
                  <wp:effectExtent b="0" l="0" r="0" t="0"/>
                  <wp:docPr descr="" title="" id="81" name="Picture"/>
                  <a:graphic>
                    <a:graphicData uri="http://schemas.openxmlformats.org/drawingml/2006/picture">
                      <pic:pic>
                        <pic:nvPicPr>
                          <pic:cNvPr descr="images/fig2-2_hr.png" id="82" name="Picture"/>
                          <pic:cNvPicPr>
                            <a:picLocks noChangeArrowheads="1" noChangeAspect="1"/>
                          </pic:cNvPicPr>
                        </pic:nvPicPr>
                        <pic:blipFill>
                          <a:blip r:embed="rId80"/>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(1975)</w:t>
            </w:r>
            <w:r>
              <w:t xml:space="preserve">. The inserted blue text shows how the ecological hypotheses fit into Wallace’s matrix for density-dependent selection vs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3"/>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4"/>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(Lively 1986a; Maynard Smith &amp; Hoekstra 1980)</w:t>
      </w:r>
      <w:r>
        <w:t xml:space="preserve"> </w:t>
      </w:r>
      <w:r>
        <w:t xml:space="preserve">(see also</w:t>
      </w:r>
      <w:r>
        <w:t xml:space="preserve"> </w:t>
      </w:r>
      <w:hyperlink r:id="rId85">
        <w:r>
          <w:rPr>
            <w:rStyle w:val="Hyperlink"/>
          </w:rPr>
          <w:t xml:space="preserve">Box 3.1</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(Bell 1982; Vrijenhoek &amp; Parker 2009)</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(Vrijenhoek &amp; Parker 2009)</w:t>
      </w:r>
      <w:r>
        <w:t xml:space="preserve">. Coexistence, however, is also compatible with the Red Queen hypothesis, which we will now consider.</w:t>
      </w:r>
    </w:p>
    <w:bookmarkEnd w:id="86"/>
    <w:bookmarkStart w:id="106"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87"/>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91" w:name="fig-2-3"/>
          <w:p>
            <w:pPr>
              <w:pStyle w:val="Compact"/>
              <w:jc w:val="center"/>
            </w:pPr>
            <w:r>
              <w:drawing>
                <wp:inline>
                  <wp:extent cx="4657629" cy="5767753"/>
                  <wp:effectExtent b="0" l="0" r="0" t="0"/>
                  <wp:docPr descr="" title="" id="89" name="Picture"/>
                  <a:graphic>
                    <a:graphicData uri="http://schemas.openxmlformats.org/drawingml/2006/picture">
                      <pic:pic>
                        <pic:nvPicPr>
                          <pic:cNvPr descr="images/fig2-3_hr.png" id="90" name="Picture"/>
                          <pic:cNvPicPr>
                            <a:picLocks noChangeArrowheads="1" noChangeAspect="1"/>
                          </pic:cNvPicPr>
                        </pic:nvPicPr>
                        <pic:blipFill>
                          <a:blip r:embed="rId88"/>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(2009)</w:t>
            </w:r>
            <w:r>
              <w:t xml:space="preserve">, which treats parasite virulence as a positive function of host density.</w:t>
            </w:r>
          </w:p>
          <w:bookmarkEnd w:id="91"/>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(Peters &amp; Lively 1999, 2007; Salathe</w:t>
      </w:r>
      <w:r>
        <w:t xml:space="preserve"> </w:t>
      </w:r>
      <w:r>
        <w:rPr>
          <w:iCs/>
          <w:i/>
        </w:rPr>
        <w:t xml:space="preserve">et al.</w:t>
      </w:r>
      <w:r>
        <w:t xml:space="preserve"> </w:t>
      </w:r>
      <w:r>
        <w:t xml:space="preserve">2008; Schmid-Hempel &amp; Jokela 2002)</w:t>
      </w:r>
      <w:r>
        <w:t xml:space="preserve">. These related ideas are now called the Red Queen Hypothesis</w:t>
      </w:r>
      <w:r>
        <w:t xml:space="preserve"> </w:t>
      </w:r>
      <w:r>
        <w:t xml:space="preserve">(following Bell 1982)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 w:name="fig-2-4"/>
          <w:p>
            <w:pPr>
              <w:pStyle w:val="Compact"/>
              <w:jc w:val="center"/>
            </w:pPr>
            <w:r>
              <w:drawing>
                <wp:inline>
                  <wp:extent cx="5943600" cy="3970755"/>
                  <wp:effectExtent b="0" l="0" r="0" t="0"/>
                  <wp:docPr descr="" title="" id="93" name="Picture"/>
                  <a:graphic>
                    <a:graphicData uri="http://schemas.openxmlformats.org/drawingml/2006/picture">
                      <pic:pic>
                        <pic:nvPicPr>
                          <pic:cNvPr descr="images/fig2-4_hr.png" id="94" name="Picture"/>
                          <pic:cNvPicPr>
                            <a:picLocks noChangeArrowheads="1" noChangeAspect="1"/>
                          </pic:cNvPicPr>
                        </pic:nvPicPr>
                        <pic:blipFill>
                          <a:blip r:embed="rId92"/>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(Lively 2009)</w:t>
            </w:r>
            <w:r>
              <w:t xml:space="preserve">. The dashed line shows the average genotype frequency for hosts and parasites.</w:t>
            </w:r>
          </w:p>
          <w:bookmarkEnd w:id="95"/>
        </w:tc>
      </w:tr>
    </w:tbl>
    <w:bookmarkStart w:id="99"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6"/>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(Bayley 2009, 2010)</w:t>
      </w:r>
      <w:r>
        <w:t xml:space="preserve">. Along these lines, mathematician Sanderson M. Smith</w:t>
      </w:r>
      <w:r>
        <w:t xml:space="preserve"> </w:t>
      </w:r>
      <w:r>
        <w:t xml:space="preserve">(n.d.)</w:t>
      </w:r>
      <w:r>
        <w:t xml:space="preserve"> </w:t>
      </w:r>
      <w:r>
        <w:t xml:space="preserve">has suggested that</w:t>
      </w:r>
      <w:r>
        <w:t xml:space="preserve"> </w:t>
      </w:r>
      <w:hyperlink r:id="rId97">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(1973)</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(1982)</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98"/>
      </w:r>
    </w:p>
    <w:bookmarkEnd w:id="99"/>
    <w:bookmarkStart w:id="105"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(1975)</w:t>
      </w:r>
      <w:r>
        <w:t xml:space="preserve">. Hamilton was reviewing the books by Williams</w:t>
      </w:r>
      <w:r>
        <w:t xml:space="preserve"> </w:t>
      </w:r>
      <w:r>
        <w:t xml:space="preserve">(1975)</w:t>
      </w:r>
      <w:r>
        <w:t xml:space="preserve"> </w:t>
      </w:r>
      <w:r>
        <w:t xml:space="preserve">and Ghiselin</w:t>
      </w:r>
      <w:r>
        <w:t xml:space="preserve"> </w:t>
      </w:r>
      <w:r>
        <w:t xml:space="preserve">(1974)</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(2001)</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(Levin 1975)</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rPr>
          <w:rStyle w:val="FootnoteReference"/>
        </w:rPr>
        <w:footnoteReference w:id="100"/>
      </w:r>
      <w:r>
        <w:t xml:space="preserve"> </w:t>
      </w:r>
      <w:r>
        <w:t xml:space="preserve">(1978)</w:t>
      </w:r>
      <w:r>
        <w:t xml:space="preserve">, Jaenike</w:t>
      </w:r>
      <w:r>
        <w:rPr>
          <w:rStyle w:val="FootnoteReference"/>
        </w:rPr>
        <w:footnoteReference w:id="101"/>
      </w:r>
      <w:r>
        <w:t xml:space="preserve"> </w:t>
      </w:r>
      <w:r>
        <w:t xml:space="preserve">(1978)</w:t>
      </w:r>
      <w:r>
        <w:t xml:space="preserve">, and Lloyd</w:t>
      </w:r>
      <w:r>
        <w:t xml:space="preserve"> </w:t>
      </w:r>
      <w:r>
        <w:t xml:space="preserve">(1980)</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2"/>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3"/>
      </w:r>
    </w:p>
    <w:p>
      <w:pPr>
        <w:pStyle w:val="BodyText"/>
      </w:pPr>
      <w:r>
        <w:t xml:space="preserve">In any case, looking back, it seems clear that the architects of the ecological hypotheses had two interrelated things in mind:</w:t>
      </w:r>
    </w:p>
    <w:p>
      <w:pPr>
        <w:numPr>
          <w:ilvl w:val="0"/>
          <w:numId w:val="1003"/>
        </w:numPr>
        <w:pStyle w:val="Compact"/>
      </w:pPr>
      <w:r>
        <w:t xml:space="preserve">How can we explain sex/rec?</w:t>
      </w:r>
    </w:p>
    <w:p>
      <w:pPr>
        <w:numPr>
          <w:ilvl w:val="0"/>
          <w:numId w:val="1003"/>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 Otto 2021)</w:t>
      </w:r>
      <w:r>
        <w:t xml:space="preserve">. I will cover some special cases of this latter idea in</w:t>
      </w:r>
      <w:r>
        <w:t xml:space="preserve"> </w:t>
      </w:r>
      <w:hyperlink w:anchor="sec-chap6">
        <w:r>
          <w:rPr>
            <w:rStyle w:val="Hyperlink"/>
          </w:rPr>
          <w:t xml:space="preserve">Chapter 5</w:t>
        </w:r>
      </w:hyperlink>
      <w:r>
        <w:t xml:space="preserve">.</w:t>
      </w:r>
      <w:r>
        <w:rPr>
          <w:rStyle w:val="FootnoteReference"/>
        </w:rPr>
        <w:footnoteReference w:id="104"/>
      </w:r>
    </w:p>
    <w:bookmarkEnd w:id="105"/>
    <w:bookmarkEnd w:id="106"/>
    <w:bookmarkStart w:id="107" w:name="summary-1"/>
    <w:p>
      <w:pPr>
        <w:pStyle w:val="Heading2"/>
      </w:pPr>
      <w:r>
        <w:t xml:space="preserve">2.4 Summary</w:t>
      </w:r>
    </w:p>
    <w:p>
      <w:pPr>
        <w:numPr>
          <w:ilvl w:val="0"/>
          <w:numId w:val="1004"/>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 Bell 1982)</w:t>
      </w:r>
      <w:r>
        <w:t xml:space="preserve">.</w:t>
      </w:r>
    </w:p>
    <w:p>
      <w:pPr>
        <w:numPr>
          <w:ilvl w:val="0"/>
          <w:numId w:val="1004"/>
        </w:numPr>
      </w:pPr>
      <w:r>
        <w:t xml:space="preserve">The Lottery Model is based on the possible advantages of diversifying offspring facing uncertain changes in the abiotic environment. Here selection is independent of both density and frequency.</w:t>
      </w:r>
    </w:p>
    <w:p>
      <w:pPr>
        <w:numPr>
          <w:ilvl w:val="0"/>
          <w:numId w:val="1004"/>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4"/>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4"/>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07"/>
    <w:bookmarkStart w:id="114" w:name="sec-app-a"/>
    <w:p>
      <w:pPr>
        <w:pStyle w:val="Heading2"/>
      </w:pPr>
      <w:r>
        <w:t xml:space="preserve">2.5 Appendix A: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(1953)</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08"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08"/>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(Prout 1968)</w:t>
      </w:r>
      <w:r>
        <w:t xml:space="preserve">. However, Timothy Prout showed that a polymorphism could be stable even if one allele is dominant, thus ruling out any kind of overdominance</w:t>
      </w:r>
      <w:r>
        <w:t xml:space="preserve"> </w:t>
      </w:r>
      <w:r>
        <w:t xml:space="preserve">(1968)</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09"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09"/>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0"/>
      </w:r>
    </w:p>
    <w:p>
      <w:pPr>
        <w:pStyle w:val="BodyText"/>
      </w:pPr>
      <w:r>
        <w:t xml:space="preserve">The plot below shows</w:t>
      </w:r>
      <w:r>
        <w:t xml:space="preserve"> </w:t>
      </w:r>
      <m:oMath>
        <m:r>
          <m:rPr>
            <m:sty m:val="p"/>
          </m:rP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rPr>
            <m:sty m:val="p"/>
          </m:rPr>
          <m:t>Δ</m:t>
        </m:r>
        <m:r>
          <m:t>q</m:t>
        </m:r>
      </m:oMath>
      <w:r>
        <w:t xml:space="preserve"> </w:t>
      </w:r>
      <w:r>
        <w:t xml:space="preserve">is positive when</w:t>
      </w:r>
      <w:r>
        <w:t xml:space="preserve"> </w:t>
      </w:r>
      <m:oMath>
        <m:r>
          <m:t>q</m:t>
        </m:r>
      </m:oMath>
      <w:r>
        <w:t xml:space="preserve"> </w:t>
      </w:r>
      <w:r>
        <w:t xml:space="preserve">is near zero, and that</w:t>
      </w:r>
      <w:r>
        <w:t xml:space="preserve"> </w:t>
      </w:r>
      <m:oMath>
        <m:r>
          <m:rPr>
            <m:sty m:val="p"/>
          </m:rP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mathrm{\Delta}q as a function of q for Prout’s model of dominance" title="" id="112" name="Picture"/>
            <a:graphic>
              <a:graphicData uri="http://schemas.openxmlformats.org/drawingml/2006/picture">
                <pic:pic>
                  <pic:nvPicPr>
                    <pic:cNvPr descr="images/fig2-5_hr.png" id="113" name="Picture"/>
                    <pic:cNvPicPr>
                      <a:picLocks noChangeArrowheads="1" noChangeAspect="1"/>
                    </pic:cNvPicPr>
                  </pic:nvPicPr>
                  <pic:blipFill>
                    <a:blip r:embed="rId111"/>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rPr>
            <m:sty m:val="p"/>
          </m:rPr>
          <m:t>Δ</m:t>
        </m:r>
        <m:r>
          <m:t>q</m:t>
        </m:r>
      </m:oMath>
      <w:r>
        <w:t xml:space="preserve"> </w:t>
      </w:r>
      <w:r>
        <w:t xml:space="preserve">as a function of</w:t>
      </w:r>
      <w:r>
        <w:t xml:space="preserve"> </w:t>
      </w:r>
      <m:oMath>
        <m:r>
          <m:t>q</m:t>
        </m:r>
      </m:oMath>
      <w:r>
        <w:t xml:space="preserve"> </w:t>
      </w:r>
      <w:r>
        <w:t xml:space="preserve">for Prout’s model of dominance</w:t>
      </w:r>
    </w:p>
    <w:bookmarkEnd w:id="114"/>
    <w:bookmarkEnd w:id="115"/>
    <w:bookmarkStart w:id="167" w:name="contrasting-the-ecological-hypotheses"/>
    <w:p>
      <w:pPr>
        <w:pStyle w:val="Heading1"/>
      </w:pPr>
      <w:r>
        <w:t xml:space="preserve">3. Contrasting the Ecological Hypotheses</w:t>
      </w:r>
    </w:p>
    <w:p>
      <w:pPr>
        <w:pStyle w:val="FirstParagraph"/>
      </w:pPr>
      <w:r>
        <w:drawing>
          <wp:inline>
            <wp:extent cx="1834895" cy="2584704"/>
            <wp:effectExtent b="0" l="0" r="0" t="0"/>
            <wp:docPr descr="" title="" id="117" name="Picture"/>
            <a:graphic>
              <a:graphicData uri="http://schemas.openxmlformats.org/drawingml/2006/picture">
                <pic:pic>
                  <pic:nvPicPr>
                    <pic:cNvPr descr="images/fig3-1.jpeg" id="118" name="Picture"/>
                    <pic:cNvPicPr>
                      <a:picLocks noChangeArrowheads="1" noChangeAspect="1"/>
                    </pic:cNvPicPr>
                  </pic:nvPicPr>
                  <pic:blipFill>
                    <a:blip r:embed="rId116"/>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19"/>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(1986c)</w:t>
      </w:r>
      <w:r>
        <w:t xml:space="preserve">.</w:t>
      </w:r>
      <w:r>
        <w:rPr>
          <w:rStyle w:val="FootnoteReference"/>
        </w:rPr>
        <w:footnoteReference w:id="120"/>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(1986b)</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(Lively 1986b)</w:t>
      </w:r>
      <w:r>
        <w:t xml:space="preserve">. Hence there is a trade-off. Taken together, the results suggested that plastic development was favored by natural selection to survive in the high-predation zones (</w:t>
      </w:r>
      <w:hyperlink w:anchor="callout-4">
        <w:r>
          <w:rPr>
            <w:rStyle w:val="Hyperlink"/>
          </w:rPr>
          <w:t xml:space="preserve">Box 3.1</w:t>
        </w:r>
      </w:hyperlink>
      <w:r>
        <w:t xml:space="preserve">). I would later come to think of adaptive plasticity as a type of variation strategy. Sexual reproduction can also be seen as a type of variation strategy</w:t>
      </w:r>
      <w:r>
        <w:t xml:space="preserve"> </w:t>
      </w:r>
      <w:r>
        <w:t xml:space="preserve">(Lloyd 1984)</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24" w:name="fig-3-2"/>
          <w:p>
            <w:pPr>
              <w:pStyle w:val="Compact"/>
              <w:jc w:val="center"/>
            </w:pPr>
            <w:r>
              <w:drawing>
                <wp:inline>
                  <wp:extent cx="2377440" cy="3076687"/>
                  <wp:effectExtent b="0" l="0" r="0" t="0"/>
                  <wp:docPr descr="" title="" id="122" name="Picture"/>
                  <a:graphic>
                    <a:graphicData uri="http://schemas.openxmlformats.org/drawingml/2006/picture">
                      <pic:pic>
                        <pic:nvPicPr>
                          <pic:cNvPr descr="images/fig3-2.jpeg" id="123" name="Picture"/>
                          <pic:cNvPicPr>
                            <a:picLocks noChangeArrowheads="1" noChangeAspect="1"/>
                          </pic:cNvPicPr>
                        </pic:nvPicPr>
                        <pic:blipFill>
                          <a:blip r:embed="rId121"/>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28" w:name="fig-3-3"/>
          <w:p>
            <w:pPr>
              <w:pStyle w:val="Compact"/>
              <w:jc w:val="center"/>
            </w:pPr>
            <w:r>
              <w:drawing>
                <wp:inline>
                  <wp:extent cx="2377440" cy="2657717"/>
                  <wp:effectExtent b="0" l="0" r="0" t="0"/>
                  <wp:docPr descr="" title="" id="126" name="Picture"/>
                  <a:graphic>
                    <a:graphicData uri="http://schemas.openxmlformats.org/drawingml/2006/picture">
                      <pic:pic>
                        <pic:nvPicPr>
                          <pic:cNvPr descr="images/fig3-3.jpeg" id="127" name="Picture"/>
                          <pic:cNvPicPr>
                            <a:picLocks noChangeArrowheads="1" noChangeAspect="1"/>
                          </pic:cNvPicPr>
                        </pic:nvPicPr>
                        <pic:blipFill>
                          <a:blip r:embed="rId125"/>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28"/>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 David Lloyd. I did not have a job, but Lynda had a small stipend from the Fulbright Foundation. By the time I moved to New Zealand, we had only twelve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NZ University Grants Committee. I had applied to work on the evolution of facultatively parthenogenetic nematodes, which represented a combination of my interests in developmental plasticity and sex.</w:t>
      </w:r>
      <w:r>
        <w:rPr>
          <w:rStyle w:val="FootnoteReference"/>
        </w:rPr>
        <w:footnoteReference w:id="129"/>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 Clark. To my mind, the value of Clark’s work remains underestimated in general, but it had a big influence on me</w:t>
      </w:r>
      <w:r>
        <w:t xml:space="preserve"> </w:t>
      </w:r>
      <w:r>
        <w:t xml:space="preserve">(e.g., Clark 1976)</w:t>
      </w:r>
      <w:r>
        <w:t xml:space="preserve">.</w:t>
      </w:r>
    </w:p>
    <w:p>
      <w:pPr>
        <w:pStyle w:val="BodyText"/>
      </w:pPr>
      <w:r>
        <w:t xml:space="preserve">I began looking for natural systems to study facultative parthenogenesis.</w:t>
      </w:r>
      <w:r>
        <w:rPr>
          <w:rStyle w:val="FootnoteReference"/>
        </w:rPr>
        <w:footnoteReference w:id="130"/>
      </w:r>
      <w:r>
        <w:t xml:space="preserve"> </w:t>
      </w:r>
      <w:r>
        <w:t xml:space="preserve">To this end, I was reading Graham Bell’s incredible book on the evolution and genetics of sexual reproduction</w:t>
      </w:r>
      <w:r>
        <w:t xml:space="preserve"> </w:t>
      </w:r>
      <w:r>
        <w:t xml:space="preserve">(1982)</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(1970)</w:t>
      </w:r>
      <w:r>
        <w:t xml:space="preserve">. Luckily for me, Prof.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1"/>
      </w:r>
    </w:p>
    <w:bookmarkStart w:id="140"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(Chamberlin 1890; Platt 1964)</w:t>
      </w:r>
      <w:r>
        <w:t xml:space="preserve">.</w:t>
      </w:r>
      <w:r>
        <w:rPr>
          <w:rStyle w:val="FootnoteReference"/>
        </w:rPr>
        <w:footnoteReference w:id="132"/>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(Platt 1964)</w:t>
      </w:r>
      <w:r>
        <w:t xml:space="preserve">. Thus, the focus is on falsifying one or more of the alternatives, rather than proving one of them</w:t>
      </w:r>
      <w:r>
        <w:t xml:space="preserve"> </w:t>
      </w:r>
      <w:r>
        <w:t xml:space="preserve">(Popper 1959)</w:t>
      </w:r>
      <w:r>
        <w:t xml:space="preserve">. Graham Bell used this same method to contrast the ecological models for sex by using data on the geographic distribution of asexual individuals across many plant and animal taxa</w:t>
      </w:r>
      <w:r>
        <w:t xml:space="preserve"> </w:t>
      </w:r>
      <w:r>
        <w:t xml:space="preserve">(Bell 1982)</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7" w:name="fig-3-4"/>
          <w:p>
            <w:pPr>
              <w:pStyle w:val="Compact"/>
              <w:jc w:val="center"/>
            </w:pPr>
            <w:r>
              <w:drawing>
                <wp:inline>
                  <wp:extent cx="5943600" cy="3965495"/>
                  <wp:effectExtent b="0" l="0" r="0" t="0"/>
                  <wp:docPr descr="" title="" id="134" name="Picture"/>
                  <a:graphic>
                    <a:graphicData uri="http://schemas.openxmlformats.org/drawingml/2006/picture">
                      <pic:pic>
                        <pic:nvPicPr>
                          <pic:cNvPr descr="images/fig3-4.jpeg" id="135" name="Picture"/>
                          <pic:cNvPicPr>
                            <a:picLocks noChangeArrowheads="1" noChangeAspect="1"/>
                          </pic:cNvPicPr>
                        </pic:nvPicPr>
                        <pic:blipFill>
                          <a:blip r:embed="rId133"/>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(Phillips &amp; Lambert 1990)</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(Lively &amp; Johnson 1994)</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6">
              <w:r>
                <w:rPr>
                  <w:rStyle w:val="Hyperlink"/>
                </w:rPr>
                <w:t xml:space="preserve">Bart Zijlstra</w:t>
              </w:r>
            </w:hyperlink>
            <w:r>
              <w:t xml:space="preserve">.</w:t>
            </w:r>
          </w:p>
          <w:bookmarkEnd w:id="137"/>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(Winterbourn</w:t>
      </w:r>
      <w:r>
        <w:t xml:space="preserve"> </w:t>
      </w:r>
      <w:r>
        <w:rPr>
          <w:iCs/>
          <w:i/>
        </w:rPr>
        <w:t xml:space="preserve">et al.</w:t>
      </w:r>
      <w:r>
        <w:t xml:space="preserve"> </w:t>
      </w:r>
      <w:r>
        <w:t xml:space="preserve">1981)</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(May &amp; Anderson 1983)</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39"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38"/>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39"/>
    <w:bookmarkEnd w:id="140"/>
    <w:bookmarkStart w:id="159"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(1973)</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1"/>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(1987)</w:t>
      </w:r>
      <w:r>
        <w:t xml:space="preserve">.</w:t>
      </w:r>
      <w:r>
        <w:rPr>
          <w:rStyle w:val="FootnoteReference"/>
        </w:rPr>
        <w:footnoteReference w:id="142"/>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(1987)</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3"/>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(1987)</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(1980)</w:t>
      </w:r>
      <w:r>
        <w:t xml:space="preserve"> </w:t>
      </w:r>
      <w:r>
        <w:t xml:space="preserve">and others</w:t>
      </w:r>
      <w:r>
        <w:t xml:space="preserve"> </w:t>
      </w:r>
      <w:r>
        <w:t xml:space="preserve">(Bell 1982; e.g., Glesener &amp; Tilman 1978)</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(Gould 1991; Stolley 1991)</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(1966)</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44"/>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FirstParagraph"/>
      </w:pPr>
      <w:r>
        <w:t xml:space="preserve">In any case, my view by 1987 was that the Red Queen Hypothesis merited serious consideration.</w:t>
      </w:r>
      <w:r>
        <w:rPr>
          <w:rStyle w:val="FootnoteReference"/>
        </w:rPr>
        <w:footnoteReference w:id="145"/>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(Anderson &amp; May 1979; May &amp; Anderson 1979)</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(Gerritsen 1980; Lloyd 1980; Tomlinson 1966)</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(Lively 1992)</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6"/>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0" w:name="fig-3-5"/>
          <w:p>
            <w:pPr>
              <w:pStyle w:val="Compact"/>
              <w:jc w:val="center"/>
            </w:pPr>
            <w:r>
              <w:drawing>
                <wp:inline>
                  <wp:extent cx="5943600" cy="5878179"/>
                  <wp:effectExtent b="0" l="0" r="0" t="0"/>
                  <wp:docPr descr="" title="" id="148" name="Picture"/>
                  <a:graphic>
                    <a:graphicData uri="http://schemas.openxmlformats.org/drawingml/2006/picture">
                      <pic:pic>
                        <pic:nvPicPr>
                          <pic:cNvPr descr="images/fig3-5_hr.png" id="149" name="Picture"/>
                          <pic:cNvPicPr>
                            <a:picLocks noChangeArrowheads="1" noChangeAspect="1"/>
                          </pic:cNvPicPr>
                        </pic:nvPicPr>
                        <pic:blipFill>
                          <a:blip r:embed="rId147"/>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(Lively 1987)</w:t>
            </w:r>
            <w:r>
              <w:t xml:space="preserve"> </w:t>
            </w:r>
            <w:r>
              <w:t xml:space="preserve">plus two river samples. Gray triangles represent lake populations</w:t>
            </w:r>
            <w:r>
              <w:t xml:space="preserve"> </w:t>
            </w:r>
            <w:r>
              <w:t xml:space="preserve">(Lively 1987)</w:t>
            </w:r>
            <w:r>
              <w:t xml:space="preserve">. Black triangles represent lake and tarn populations</w:t>
            </w:r>
            <w:r>
              <w:t xml:space="preserve"> </w:t>
            </w:r>
            <w:r>
              <w:t xml:space="preserve">(Lively 1992)</w:t>
            </w:r>
            <w:r>
              <w:t xml:space="preserve">. The correlation is positive and statistically significant.</w:t>
            </w:r>
          </w:p>
          <w:bookmarkEnd w:id="15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4" w:name="fig-3-6"/>
          <w:p>
            <w:pPr>
              <w:pStyle w:val="Compact"/>
              <w:jc w:val="center"/>
            </w:pPr>
            <w:r>
              <w:drawing>
                <wp:inline>
                  <wp:extent cx="5943600" cy="7691717"/>
                  <wp:effectExtent b="0" l="0" r="0" t="0"/>
                  <wp:docPr descr="" title="" id="152" name="Picture"/>
                  <a:graphic>
                    <a:graphicData uri="http://schemas.openxmlformats.org/drawingml/2006/picture">
                      <pic:pic>
                        <pic:nvPicPr>
                          <pic:cNvPr descr="images/fig3-6_hr.png" id="153" name="Picture"/>
                          <pic:cNvPicPr>
                            <a:picLocks noChangeArrowheads="1" noChangeAspect="1"/>
                          </pic:cNvPicPr>
                        </pic:nvPicPr>
                        <pic:blipFill>
                          <a:blip r:embed="rId151"/>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 Lively 1992.)</w:t>
            </w:r>
          </w:p>
          <w:bookmarkEnd w:id="154"/>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(1980)</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(Lively 2001)</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(Levri &amp; Fisher 2000; Levri &amp; Lively 1996)</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(Gibson</w:t>
      </w:r>
      <w:r>
        <w:t xml:space="preserve"> </w:t>
      </w:r>
      <w:r>
        <w:rPr>
          <w:iCs/>
          <w:i/>
        </w:rPr>
        <w:t xml:space="preserve">et al.</w:t>
      </w:r>
      <w:r>
        <w:t xml:space="preserve"> </w:t>
      </w:r>
      <w:r>
        <w:t xml:space="preserve">2016)</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5"/>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6"/>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(Lively &amp; Jokela 2002)</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57"/>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58"/>
      </w:r>
      <w:r>
        <w:t xml:space="preserve"> </w:t>
      </w:r>
      <w:r>
        <w:t xml:space="preserve">But the results do imply that the Red Queen Hypothesis was (and still is) worthy of further study.</w:t>
      </w:r>
    </w:p>
    <w:bookmarkEnd w:id="159"/>
    <w:bookmarkStart w:id="166" w:name="summary-2"/>
    <w:p>
      <w:pPr>
        <w:pStyle w:val="Heading2"/>
      </w:pPr>
      <w:r>
        <w:t xml:space="preserve">3.3 Summary</w:t>
      </w:r>
    </w:p>
    <w:p>
      <w:pPr>
        <w:numPr>
          <w:ilvl w:val="0"/>
          <w:numId w:val="1005"/>
        </w:numPr>
      </w:pPr>
      <w:r>
        <w:t xml:space="preserve">The co-occurrence of discrete morphs is inherently interesting to evolutionary biologists. Genetic diversity is also inherently interesting.</w:t>
      </w:r>
    </w:p>
    <w:p>
      <w:pPr>
        <w:numPr>
          <w:ilvl w:val="0"/>
          <w:numId w:val="1005"/>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5"/>
        </w:numPr>
      </w:pPr>
      <w:r>
        <w:t xml:space="preserve">The prevalence of sterilizing trematode larvae is a better predictor sexual reproduction in the snail than habitat (lakes vs. streams), thus favoring the Red Queen Hypothesis over the alternative ecological hypotheses.</w:t>
      </w:r>
    </w:p>
    <w:p>
      <w:pPr>
        <w:numPr>
          <w:ilvl w:val="0"/>
          <w:numId w:val="1005"/>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60" name="Picture"/>
                  <a:graphic>
                    <a:graphicData uri="http://schemas.openxmlformats.org/drawingml/2006/picture">
                      <pic:pic>
                        <pic:nvPicPr>
                          <pic:cNvPr descr="C:\Program Files\Quarto\share\formats\docx\note.png" id="161"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3.1</w:t>
            </w:r>
          </w:p>
          <w:p>
            <w:pPr>
              <w:pStyle w:val="BodyText"/>
            </w:pPr>
            <w:pPr>
              <w:spacing w:before="16"/>
            </w:pPr>
            <w:r>
              <w:t xml:space="preserve">As part of my dissertation research, I constructed a game-theoretic model of selection on three strategies:</w:t>
            </w:r>
          </w:p>
          <w:p>
            <w:pPr>
              <w:numPr>
                <w:ilvl w:val="0"/>
                <w:numId w:val="1006"/>
              </w:numPr>
            </w:pPr>
            <w:r>
              <w:t xml:space="preserve">canalized development into a high-fecundity morph,</w:t>
            </w:r>
          </w:p>
          <w:p>
            <w:pPr>
              <w:numPr>
                <w:ilvl w:val="0"/>
                <w:numId w:val="1006"/>
              </w:numPr>
            </w:pPr>
            <w:r>
              <w:t xml:space="preserve">canalized development to a low-fecundity, predation-resistant morph,</w:t>
            </w:r>
          </w:p>
          <w:p>
            <w:pPr>
              <w:numPr>
                <w:ilvl w:val="0"/>
                <w:numId w:val="1006"/>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(Lively 1986a)</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2"/>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(Levinton 1988)</w:t>
            </w:r>
            <w:r>
              <w:t xml:space="preserve">. Also note that the conditions for a genetic polymorphism are relatively narrow. Redrawn from Lively</w:t>
            </w:r>
            <w:r>
              <w:t xml:space="preserve"> </w:t>
            </w:r>
            <w:r>
              <w:t xml:space="preserve">(1999a)</w:t>
            </w:r>
            <w:r>
              <w:t xml:space="preserve"> </w:t>
            </w:r>
            <w:r>
              <w:t xml:space="preserve">assuming a small cost to plasticity.</w:t>
            </w:r>
          </w:p>
          <w:p>
            <w:pPr>
              <w:pStyle w:val="BodyText"/>
            </w:pPr>
            <w:pPr>
              <w:spacing w:after="16"/>
            </w:pPr>
            <w:r>
              <w:drawing>
                <wp:inline>
                  <wp:extent cx="5943600" cy="3088595"/>
                  <wp:effectExtent b="0" l="0" r="0" t="0"/>
                  <wp:docPr descr="" title="" id="164" name="Picture"/>
                  <a:graphic>
                    <a:graphicData uri="http://schemas.openxmlformats.org/drawingml/2006/picture">
                      <pic:pic>
                        <pic:nvPicPr>
                          <pic:cNvPr descr="images/fig3-7_hr.png" id="165" name="Picture"/>
                          <pic:cNvPicPr>
                            <a:picLocks noChangeArrowheads="1" noChangeAspect="1"/>
                          </pic:cNvPicPr>
                        </pic:nvPicPr>
                        <pic:blipFill>
                          <a:blip r:embed="rId163"/>
                          <a:stretch>
                            <a:fillRect/>
                          </a:stretch>
                        </pic:blipFill>
                        <pic:spPr bwMode="auto">
                          <a:xfrm>
                            <a:off x="0" y="0"/>
                            <a:ext cx="5943600" cy="3088595"/>
                          </a:xfrm>
                          <a:prstGeom prst="rect">
                            <a:avLst/>
                          </a:prstGeom>
                          <a:noFill/>
                          <a:ln w="9525">
                            <a:noFill/>
                            <a:headEnd/>
                            <a:tailEnd/>
                          </a:ln>
                        </pic:spPr>
                      </pic:pic>
                    </a:graphicData>
                  </a:graphic>
                </wp:inline>
              </w:drawing>
            </w:r>
          </w:p>
        </w:tc>
      </w:tr>
    </w:tbl>
    <w:bookmarkEnd w:id="166"/>
    <w:bookmarkEnd w:id="167"/>
    <w:bookmarkStart w:id="200" w:name="X6b5b269cfaebc6c31145c5417ceabbba7fca3f3"/>
    <w:p>
      <w:pPr>
        <w:pStyle w:val="Heading1"/>
      </w:pPr>
      <w:r>
        <w:t xml:space="preserve">4. Self- / Non-Self-Recognition and Local Adaptation</w:t>
      </w:r>
    </w:p>
    <w:p>
      <w:pPr>
        <w:pStyle w:val="FirstParagraph"/>
      </w:pPr>
      <w:r>
        <w:drawing>
          <wp:inline>
            <wp:extent cx="1670304" cy="1563624"/>
            <wp:effectExtent b="0" l="0" r="0" t="0"/>
            <wp:docPr descr="" title="" id="169" name="Picture"/>
            <a:graphic>
              <a:graphicData uri="http://schemas.openxmlformats.org/drawingml/2006/picture">
                <pic:pic>
                  <pic:nvPicPr>
                    <pic:cNvPr descr="images/fig4-1.jpeg" id="170" name="Picture"/>
                    <pic:cNvPicPr>
                      <a:picLocks noChangeArrowheads="1" noChangeAspect="1"/>
                    </pic:cNvPicPr>
                  </pic:nvPicPr>
                  <pic:blipFill>
                    <a:blip r:embed="rId168"/>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(Gandon &amp; Michalakis 2002; Lively 1999b)</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 Elda Gaino &amp; Magnino 1999)</w:t>
      </w:r>
      <w:r>
        <w:t xml:space="preserve">. This ability to reject foreign tissues seems widely conserved</w:t>
      </w:r>
      <w:r>
        <w:t xml:space="preserve"> </w:t>
      </w:r>
      <w:r>
        <w:t xml:space="preserve">(Buss 1990)</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2"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1"/>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p>
    <w:bookmarkStart w:id="178" w:name="fig-4.1"/>
    <w:tbl>
      <w:tblPr>
        <w:tblStyle w:val="Table"/>
        <w:tblW w:type="pct" w:w="4900"/>
        <w:tblLook w:firstRow="0" w:lastRow="0" w:firstColumn="0" w:lastColumn="0" w:noHBand="0" w:noVBand="0" w:val="0000"/>
        <w:jc w:val="start"/>
        <w:tblLayout w:type="fixed"/>
      </w:tblPr>
      <w:tblGrid>
        <w:gridCol w:w="3880"/>
        <w:gridCol w:w="3880"/>
      </w:tblGrid>
      <w:tr>
        <w:tc>
          <w:tcPr/>
          <w:p>
            <w:pPr>
              <w:pStyle w:val="CaptionedFigure"/>
              <w:jc w:val="center"/>
            </w:pPr>
            <w:r>
              <w:drawing>
                <wp:inline>
                  <wp:extent cx="5943600" cy="4172174"/>
                  <wp:effectExtent b="0" l="0" r="0" t="0"/>
                  <wp:docPr descr="The life cycle of the trematode Microphallus" title="" id="173" name="Picture"/>
                  <a:graphic>
                    <a:graphicData uri="http://schemas.openxmlformats.org/drawingml/2006/picture">
                      <pic:pic>
                        <pic:nvPicPr>
                          <pic:cNvPr descr="images/fig4-2.jpeg" id="174" name="Picture"/>
                          <pic:cNvPicPr>
                            <a:picLocks noChangeArrowheads="1" noChangeAspect="1"/>
                          </pic:cNvPicPr>
                        </pic:nvPicPr>
                        <pic:blipFill>
                          <a:blip r:embed="rId172"/>
                          <a:stretch>
                            <a:fillRect/>
                          </a:stretch>
                        </pic:blipFill>
                        <pic:spPr bwMode="auto">
                          <a:xfrm>
                            <a:off x="0" y="0"/>
                            <a:ext cx="5943600" cy="4172174"/>
                          </a:xfrm>
                          <a:prstGeom prst="rect">
                            <a:avLst/>
                          </a:prstGeom>
                          <a:noFill/>
                          <a:ln w="9525">
                            <a:noFill/>
                            <a:headEnd/>
                            <a:tailEnd/>
                          </a:ln>
                        </pic:spPr>
                      </pic:pic>
                    </a:graphicData>
                  </a:graphic>
                </wp:inline>
              </w:drawing>
            </w:r>
          </w:p>
          <w:p>
            <w:pPr>
              <w:pStyle w:val="ImageCaption"/>
              <w:jc w:val="center"/>
            </w:pPr>
            <w:r>
              <w:t xml:space="preserve">The life cycle of the trematode</w:t>
            </w:r>
            <w:r>
              <w:t xml:space="preserve"> </w:t>
            </w:r>
            <w:r>
              <w:rPr>
                <w:iCs/>
                <w:i/>
              </w:rPr>
              <w:t xml:space="preserve">Microphallus</w:t>
            </w:r>
          </w:p>
        </w:tc>
        <w:tc>
          <w:tcPr/>
          <w:p>
            <w:pPr>
              <w:pStyle w:val="CaptionedFigure"/>
              <w:jc w:val="center"/>
            </w:pPr>
            <w:r>
              <w:drawing>
                <wp:inline>
                  <wp:extent cx="4096512" cy="4681728"/>
                  <wp:effectExtent b="0" l="0" r="0" t="0"/>
                  <wp:docPr descr="Infected female (top) and uninfected female (bottom) of P. antipodarum" title="" id="176" name="Picture"/>
                  <a:graphic>
                    <a:graphicData uri="http://schemas.openxmlformats.org/drawingml/2006/picture">
                      <pic:pic>
                        <pic:nvPicPr>
                          <pic:cNvPr descr="images/fig4-3.jpg" id="177" name="Picture"/>
                          <pic:cNvPicPr>
                            <a:picLocks noChangeArrowheads="1" noChangeAspect="1"/>
                          </pic:cNvPicPr>
                        </pic:nvPicPr>
                        <pic:blipFill>
                          <a:blip r:embed="rId175"/>
                          <a:stretch>
                            <a:fillRect/>
                          </a:stretch>
                        </pic:blipFill>
                        <pic:spPr bwMode="auto">
                          <a:xfrm>
                            <a:off x="0" y="0"/>
                            <a:ext cx="4096512" cy="4681728"/>
                          </a:xfrm>
                          <a:prstGeom prst="rect">
                            <a:avLst/>
                          </a:prstGeom>
                          <a:noFill/>
                          <a:ln w="9525">
                            <a:noFill/>
                            <a:headEnd/>
                            <a:tailEnd/>
                          </a:ln>
                        </pic:spPr>
                      </pic:pic>
                    </a:graphicData>
                  </a:graphic>
                </wp:inline>
              </w:drawing>
            </w:r>
          </w:p>
          <w:p>
            <w:pPr>
              <w:pStyle w:val="ImageCaption"/>
              <w:jc w:val="center"/>
            </w:pPr>
            <w:r>
              <w:t xml:space="preserve">Infected female (top) and uninfected female (bottom) of</w:t>
            </w:r>
            <w:r>
              <w:t xml:space="preserve"> </w:t>
            </w:r>
            <w:r>
              <w:rPr>
                <w:iCs/>
                <w:i/>
              </w:rPr>
              <w:t xml:space="preserve">P. antipodarum</w:t>
            </w:r>
          </w:p>
        </w:tc>
      </w:tr>
    </w:tbl>
    <w:p>
      <w:pPr>
        <w:pStyle w:val="BodyText"/>
      </w:pPr>
      <w:pPr>
        <w:spacing w:before="200"/>
        <w:pStyle w:val="ImageCaption"/>
      </w:pPr>
      <w:r>
        <w:t xml:space="preserve">Figure 4.1:</w:t>
      </w:r>
      <w:r>
        <w:t xml:space="preserve"> </w:t>
      </w:r>
      <w:r>
        <w:rPr>
          <w:bCs/>
          <w:b/>
        </w:rPr>
        <w:t xml:space="preserve">Left panel:</w:t>
      </w:r>
      <w:r>
        <w:t xml:space="preserve"> </w:t>
      </w:r>
      <w:r>
        <w:t xml:space="preserve">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r>
        <w:t xml:space="preserve"> </w:t>
      </w:r>
      <w:r>
        <w:rPr>
          <w:bCs/>
          <w:b/>
        </w:rPr>
        <w:t xml:space="preserve">Right panel:</w:t>
      </w:r>
      <w:r>
        <w:t xml:space="preserve"> </w:t>
      </w:r>
      <w:r>
        <w:t xml:space="preserve">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78"/>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2">
        <w:r>
          <w:rPr>
            <w:rStyle w:val="Hyperlink"/>
          </w:rPr>
          <w:t xml:space="preserve">Figure 4.2</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(Lively 1989)</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82" w:name="fig-4.2"/>
          <w:p>
            <w:pPr>
              <w:pStyle w:val="Compact"/>
              <w:jc w:val="center"/>
            </w:pPr>
            <w:r>
              <w:drawing>
                <wp:inline>
                  <wp:extent cx="5943600" cy="3556182"/>
                  <wp:effectExtent b="0" l="0" r="0" t="0"/>
                  <wp:docPr descr="" title="" id="180" name="Picture"/>
                  <a:graphic>
                    <a:graphicData uri="http://schemas.openxmlformats.org/drawingml/2006/picture">
                      <pic:pic>
                        <pic:nvPicPr>
                          <pic:cNvPr descr="images/fig4-4.png" id="181" name="Picture"/>
                          <pic:cNvPicPr>
                            <a:picLocks noChangeArrowheads="1" noChangeAspect="1"/>
                          </pic:cNvPicPr>
                        </pic:nvPicPr>
                        <pic:blipFill>
                          <a:blip r:embed="rId179"/>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Results of the first reciprocal cross-inoculation experiment. The vertical bars show one SE of the mean. Redrawn from Lively</w:t>
            </w:r>
            <w:r>
              <w:t xml:space="preserve"> </w:t>
            </w:r>
            <w:r>
              <w:t xml:space="preserve">(1989)</w:t>
            </w:r>
            <w:r>
              <w:t xml:space="preserve">.</w:t>
            </w:r>
          </w:p>
          <w:bookmarkEnd w:id="182"/>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(Lively 1989)</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(1989)</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(Lively 1989)</w:t>
      </w:r>
      <w:r>
        <w:t xml:space="preserve">. And, to my surprise, the distance between lakes did not matter to the strength of local adaptation (</w:t>
      </w:r>
      <w:hyperlink w:anchor="fig-4.3">
        <w:r>
          <w:rPr>
            <w:rStyle w:val="Hyperlink"/>
          </w:rPr>
          <w:t xml:space="preserve">Figure 4.3</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4">
        <w:r>
          <w:rPr>
            <w:rStyle w:val="Hyperlink"/>
          </w:rPr>
          <w:t xml:space="preserve">Figure 4.4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6" w:name="fig-4.3"/>
          <w:p>
            <w:pPr>
              <w:pStyle w:val="Compact"/>
              <w:jc w:val="center"/>
            </w:pPr>
            <w:r>
              <w:drawing>
                <wp:inline>
                  <wp:extent cx="5943600" cy="3496652"/>
                  <wp:effectExtent b="0" l="0" r="0" t="0"/>
                  <wp:docPr descr="" title="" id="184" name="Picture"/>
                  <a:graphic>
                    <a:graphicData uri="http://schemas.openxmlformats.org/drawingml/2006/picture">
                      <pic:pic>
                        <pic:nvPicPr>
                          <pic:cNvPr descr="images/fig4-5.png" id="185" name="Picture"/>
                          <pic:cNvPicPr>
                            <a:picLocks noChangeArrowheads="1" noChangeAspect="1"/>
                          </pic:cNvPicPr>
                        </pic:nvPicPr>
                        <pic:blipFill>
                          <a:blip r:embed="rId183"/>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second reciprocal cross-inoculation experiment. Vertical bars show one SE of the mean. Redrawn from Lively</w:t>
            </w:r>
            <w:r>
              <w:t xml:space="preserve"> </w:t>
            </w:r>
            <w:r>
              <w:t xml:space="preserve">(1989)</w:t>
            </w:r>
            <w:r>
              <w:t xml:space="preserve">.</w:t>
            </w:r>
          </w:p>
          <w:bookmarkEnd w:id="186"/>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(Lively 1999b; Lively &amp; Wade 2022)</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(1985)</w:t>
      </w:r>
      <w:r>
        <w:t xml:space="preserve"> </w:t>
      </w:r>
      <w:r>
        <w:t xml:space="preserve">and Ebert</w:t>
      </w:r>
      <w:r>
        <w:t xml:space="preserve"> </w:t>
      </w:r>
      <w:r>
        <w:t xml:space="preserve">(1994)</w:t>
      </w:r>
      <w:r>
        <w:t xml:space="preserve">, convinced me that host-parasite coevolution was interesting, whether or not it could explain sex.</w:t>
      </w:r>
      <w:r>
        <w:rPr>
          <w:rStyle w:val="FootnoteReference"/>
        </w:rPr>
        <w:footnoteReference w:id="187"/>
      </w:r>
      <w:r>
        <w:t xml:space="preserve"> </w:t>
      </w:r>
      <w:r>
        <w:t xml:space="preserve">In addition, May and Anderson</w:t>
      </w:r>
      <w:r>
        <w:t xml:space="preserve"> </w:t>
      </w:r>
      <w:r>
        <w:t xml:space="preserve">(1983)</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(Hamilton 1980; Hamilton &amp; Zuk 1982)</w:t>
      </w:r>
      <w:r>
        <w:t xml:space="preserve">. Fascinating work by Janice Moore on the evolution of adaptive, parasite-mediated modifications of host behavior piled on</w:t>
      </w:r>
      <w:r>
        <w:t xml:space="preserve"> </w:t>
      </w:r>
      <w:r>
        <w:t xml:space="preserve">(1984)</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(1998)</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91" w:name="fig-4.4"/>
          <w:p>
            <w:pPr>
              <w:pStyle w:val="Compact"/>
              <w:jc w:val="center"/>
            </w:pPr>
            <w:r>
              <w:drawing>
                <wp:inline>
                  <wp:extent cx="5943600" cy="6033654"/>
                  <wp:effectExtent b="0" l="0" r="0" t="0"/>
                  <wp:docPr descr="" title="" id="189" name="Picture"/>
                  <a:graphic>
                    <a:graphicData uri="http://schemas.openxmlformats.org/drawingml/2006/picture">
                      <pic:pic>
                        <pic:nvPicPr>
                          <pic:cNvPr descr="images/fig4-6.png" id="190" name="Picture"/>
                          <pic:cNvPicPr>
                            <a:picLocks noChangeArrowheads="1" noChangeAspect="1"/>
                          </pic:cNvPicPr>
                        </pic:nvPicPr>
                        <pic:blipFill>
                          <a:blip r:embed="rId188"/>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 Lively</w:t>
            </w:r>
            <w:r>
              <w:t xml:space="preserve"> </w:t>
            </w:r>
            <w:r>
              <w:rPr>
                <w:iCs/>
                <w:i/>
              </w:rPr>
              <w:t xml:space="preserve">et al.</w:t>
            </w:r>
            <w:r>
              <w:t xml:space="preserve"> </w:t>
            </w:r>
            <w:r>
              <w:t xml:space="preserve">2004)</w:t>
            </w:r>
            <w:r>
              <w:t xml:space="preserve">.</w:t>
            </w:r>
          </w:p>
          <w:bookmarkEnd w:id="191"/>
        </w:tc>
      </w:tr>
    </w:tbl>
    <w:bookmarkEnd w:id="192"/>
    <w:bookmarkStart w:id="198"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(Burnet 1971)</w:t>
      </w:r>
      <w:r>
        <w:t xml:space="preserve">. The first study was from Hidemiti Oka</w:t>
      </w:r>
      <w:r>
        <w:t xml:space="preserve"> </w:t>
      </w:r>
      <w:r>
        <w:t xml:space="preserve">(1970)</w:t>
      </w:r>
      <w:r>
        <w:t xml:space="preserve">:</w:t>
      </w:r>
      <w:r>
        <w:t xml:space="preserve"> </w:t>
      </w:r>
      <w:r>
        <w:t xml:space="preserve">“</w:t>
      </w:r>
      <w:r>
        <w:t xml:space="preserve">Here I shall explore the possibility that Oka’s</w:t>
      </w:r>
      <w:r>
        <w:t xml:space="preserve"> </w:t>
      </w:r>
      <w:r>
        <w:t xml:space="preserve">(1970)</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(1903)</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93"/>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5">
        <w:r>
          <w:rPr>
            <w:rStyle w:val="Hyperlink"/>
          </w:rPr>
          <w:t xml:space="preserve">Figure 4.5</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(1971)</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 I will flesh this idea out in a later chapter.</w:t>
      </w:r>
    </w:p>
    <w:tbl>
      <w:tblPr>
        <w:tblStyle w:val="Table"/>
        <w:tblW w:type="pct" w:w="5000"/>
        <w:tblLook w:firstRow="0" w:lastRow="0" w:firstColumn="0" w:lastColumn="0" w:noHBand="0" w:noVBand="0" w:val="0000"/>
        <w:jc w:val="start"/>
        <w:tblLayout w:type="fixed"/>
      </w:tblPr>
      <w:tblGrid>
        <w:gridCol w:w="7920"/>
      </w:tblGrid>
      <w:tr>
        <w:tc>
          <w:tcPr/>
          <w:bookmarkStart w:id="197" w:name="fig-4.5"/>
          <w:p>
            <w:pPr>
              <w:pStyle w:val="Compact"/>
              <w:jc w:val="center"/>
            </w:pPr>
            <w:r>
              <w:drawing>
                <wp:inline>
                  <wp:extent cx="5943600" cy="6202935"/>
                  <wp:effectExtent b="0" l="0" r="0" t="0"/>
                  <wp:docPr descr="" title="" id="195" name="Picture"/>
                  <a:graphic>
                    <a:graphicData uri="http://schemas.openxmlformats.org/drawingml/2006/picture">
                      <pic:pic>
                        <pic:nvPicPr>
                          <pic:cNvPr descr="images/fig4-7.jpeg" id="196" name="Picture"/>
                          <pic:cNvPicPr>
                            <a:picLocks noChangeArrowheads="1" noChangeAspect="1"/>
                          </pic:cNvPicPr>
                        </pic:nvPicPr>
                        <pic:blipFill>
                          <a:blip r:embed="rId194"/>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A model for self- / non-self-recognition</w:t>
            </w:r>
            <w:r>
              <w:t xml:space="preserve"> </w:t>
            </w:r>
            <w:r>
              <w:t xml:space="preserve">(Burnet 1971; Oka 1970)</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(1971)</w:t>
            </w:r>
            <w:r>
              <w:t xml:space="preserve"> </w:t>
            </w:r>
            <w:r>
              <w:t xml:space="preserve">by Zoe M Dinges.</w:t>
            </w:r>
          </w:p>
          <w:bookmarkEnd w:id="197"/>
        </w:tc>
      </w:tr>
    </w:tbl>
    <w:bookmarkEnd w:id="198"/>
    <w:bookmarkStart w:id="199" w:name="summary-3"/>
    <w:p>
      <w:pPr>
        <w:pStyle w:val="Heading2"/>
      </w:pPr>
      <w:r>
        <w:t xml:space="preserve">4.3 Summary</w:t>
      </w:r>
    </w:p>
    <w:p>
      <w:pPr>
        <w:numPr>
          <w:ilvl w:val="0"/>
          <w:numId w:val="1007"/>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07"/>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07"/>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199"/>
    <w:bookmarkEnd w:id="200"/>
    <w:bookmarkStart w:id="202" w:name="sec-chap6"/>
    <w:p>
      <w:pPr>
        <w:pStyle w:val="Heading1"/>
      </w:pPr>
      <w:r>
        <w:t xml:space="preserve">5. The Ratchet and the Red Queen</w:t>
      </w:r>
    </w:p>
    <w:p>
      <w:pPr>
        <w:pStyle w:val="FirstParagraph"/>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of 1990, arriving during a cold snap (-20&amp;degC).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 Most of this book aims to highlight the work of my incredible students and colleagues at IU.</w:t>
      </w:r>
    </w:p>
    <w:bookmarkStart w:id="201" w:name="the-problem-1"/>
    <w:p>
      <w:pPr>
        <w:pStyle w:val="Heading2"/>
      </w:pPr>
      <w:r>
        <w:t xml:space="preserve">5.1 The Problem</w:t>
      </w:r>
    </w:p>
    <w:bookmarkEnd w:id="201"/>
    <w:bookmarkEnd w:id="202"/>
    <w:bookmarkStart w:id="330" w:name="references"/>
    <w:p>
      <w:pPr>
        <w:pStyle w:val="Heading1"/>
      </w:pPr>
      <w:r>
        <w:t xml:space="preserve">References</w:t>
      </w:r>
    </w:p>
    <w:bookmarkStart w:id="329" w:name="refs"/>
    <w:bookmarkStart w:id="203"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03"/>
    <w:bookmarkStart w:id="204"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04"/>
    <w:bookmarkStart w:id="205" w:name="ref-bancroft1903a"/>
    <w:p>
      <w:pPr>
        <w:pStyle w:val="Bibliography"/>
      </w:pPr>
      <w:r>
        <w:t xml:space="preserve">Bancroft, F.W. (1903). Variation and fusion of colonies in compound ascidians. In:</w:t>
      </w:r>
      <w:r>
        <w:t xml:space="preserve"> </w:t>
      </w:r>
      <w:r>
        <w:rPr>
          <w:iCs/>
          <w:i/>
        </w:rPr>
        <w:t xml:space="preserve">Proceedings of the california academy of sciences</w:t>
      </w:r>
      <w:r>
        <w:t xml:space="preserve">. pp. 137–186.</w:t>
      </w:r>
    </w:p>
    <w:bookmarkEnd w:id="205"/>
    <w:bookmarkStart w:id="206"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06"/>
    <w:bookmarkStart w:id="207" w:name="ref-bayley2010a"/>
    <w:p>
      <w:pPr>
        <w:pStyle w:val="Bibliography"/>
      </w:pPr>
      <w:r>
        <w:t xml:space="preserve">Bayley, M. (2010). Algebra in wonderland.</w:t>
      </w:r>
      <w:r>
        <w:t xml:space="preserve"> </w:t>
      </w:r>
      <w:r>
        <w:rPr>
          <w:iCs/>
          <w:i/>
        </w:rPr>
        <w:t xml:space="preserve">New York Times</w:t>
      </w:r>
      <w:r>
        <w:t xml:space="preserve">.</w:t>
      </w:r>
    </w:p>
    <w:bookmarkEnd w:id="207"/>
    <w:bookmarkStart w:id="208"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08"/>
    <w:bookmarkStart w:id="210" w:name="ref-bell2006a"/>
    <w:p>
      <w:pPr>
        <w:pStyle w:val="Bibliography"/>
      </w:pPr>
      <w:r>
        <w:t xml:space="preserve">Bell, T., Freckleton, R.P. &amp; Lewis, O.T. (2006).</w:t>
      </w:r>
      <w:r>
        <w:t xml:space="preserve"> </w:t>
      </w:r>
      <w:hyperlink r:id="rId209">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10"/>
    <w:bookmarkStart w:id="212" w:name="ref-blasco-costa2019a"/>
    <w:p>
      <w:pPr>
        <w:pStyle w:val="Bibliography"/>
      </w:pPr>
      <w:r>
        <w:t xml:space="preserve">Blasco-Costa, I., Seppälä, K., Feijen, F., Zajac, N., Klappert, K. &amp; Jokela, J. (2019).</w:t>
      </w:r>
      <w:r>
        <w:t xml:space="preserve"> </w:t>
      </w:r>
      <w:hyperlink r:id="rId211">
        <w:r>
          <w:rPr>
            <w:rStyle w:val="Hyperlink"/>
          </w:rPr>
          <w:t xml:space="preserve">A new species of</w:t>
        </w:r>
        <w:r>
          <w:rPr>
            <w:rStyle w:val="Hyperlink"/>
          </w:rPr>
          <w:t xml:space="preserve"> </w:t>
        </w:r>
        <w:r>
          <w:rPr>
            <w:rStyle w:val="Hyperlink"/>
            <w:iCs/>
            <w:i/>
          </w:rPr>
          <w:t xml:space="preserve">atriophallophorus</w:t>
        </w:r>
        <w:r>
          <w:rPr>
            <w:rStyle w:val="Hyperlink"/>
          </w:rPr>
          <w:t xml:space="preserve"> </w:t>
        </w:r>
        <w:r>
          <w:rPr>
            <w:rStyle w:val="Hyperlink"/>
          </w:rPr>
          <w:t xml:space="preserve">deblock &amp; rosé, 1964 (trematoda: Microphallidae)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(gray, 1843) (mollusca: tateidae)</w:t>
        </w:r>
      </w:hyperlink>
      <w:r>
        <w:t xml:space="preserve">.</w:t>
      </w:r>
      <w:r>
        <w:t xml:space="preserve"> </w:t>
      </w:r>
      <w:r>
        <w:rPr>
          <w:iCs/>
          <w:i/>
        </w:rPr>
        <w:t xml:space="preserve">Journal of Helminthology</w:t>
      </w:r>
      <w:r>
        <w:t xml:space="preserve">, 94, 1–15.</w:t>
      </w:r>
    </w:p>
    <w:bookmarkEnd w:id="212"/>
    <w:bookmarkStart w:id="213"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13"/>
    <w:bookmarkStart w:id="214"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14"/>
    <w:bookmarkStart w:id="215" w:name="ref-buss1990a"/>
    <w:p>
      <w:pPr>
        <w:pStyle w:val="Bibliography"/>
      </w:pPr>
      <w:r>
        <w:t xml:space="preserve">Buss, L. (1990). Competition within and between encrusting clonal invertebrates.</w:t>
      </w:r>
      <w:r>
        <w:t xml:space="preserve"> </w:t>
      </w:r>
      <w:r>
        <w:rPr>
          <w:iCs/>
          <w:i/>
        </w:rPr>
        <w:t xml:space="preserve">Trends in Ecology and Evolution</w:t>
      </w:r>
      <w:r>
        <w:t xml:space="preserve">, 5, 352–356.</w:t>
      </w:r>
    </w:p>
    <w:bookmarkEnd w:id="215"/>
    <w:bookmarkStart w:id="216"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16"/>
    <w:bookmarkStart w:id="217"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17"/>
    <w:bookmarkStart w:id="218"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18"/>
    <w:bookmarkStart w:id="219"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19"/>
    <w:bookmarkStart w:id="221" w:name="ref-dagg2016a"/>
    <w:p>
      <w:pPr>
        <w:pStyle w:val="Bibliography"/>
      </w:pPr>
      <w:r>
        <w:t xml:space="preserve">Dagg, J. (2016).</w:t>
      </w:r>
      <w:r>
        <w:t xml:space="preserve"> </w:t>
      </w:r>
      <w:hyperlink r:id="rId220">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21"/>
    <w:bookmarkStart w:id="223" w:name="ref-darwin1862a"/>
    <w:p>
      <w:pPr>
        <w:pStyle w:val="Bibliography"/>
      </w:pPr>
      <w:r>
        <w:t xml:space="preserve">Darwin, C. (1862).</w:t>
      </w:r>
      <w:r>
        <w:t xml:space="preserve"> </w:t>
      </w:r>
      <w:hyperlink r:id="rId222">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23"/>
    <w:bookmarkStart w:id="224"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24"/>
    <w:bookmarkStart w:id="226" w:name="ref-darwin1860a"/>
    <w:p>
      <w:pPr>
        <w:pStyle w:val="Bibliography"/>
      </w:pPr>
      <w:r>
        <w:t xml:space="preserve">Darwin, C. (n.d.).</w:t>
      </w:r>
      <w:r>
        <w:t xml:space="preserve"> </w:t>
      </w:r>
      <w:hyperlink r:id="rId225">
        <w:r>
          <w:rPr>
            <w:rStyle w:val="Hyperlink"/>
          </w:rPr>
          <w:t xml:space="preserve">Letter no. 2869</w:t>
        </w:r>
      </w:hyperlink>
      <w:r>
        <w:t xml:space="preserve">. Darwin Correspondence Project.</w:t>
      </w:r>
    </w:p>
    <w:bookmarkEnd w:id="226"/>
    <w:bookmarkStart w:id="227"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227"/>
    <w:bookmarkStart w:id="229" w:name="ref-gaino1999a"/>
    <w:p>
      <w:pPr>
        <w:pStyle w:val="Bibliography"/>
      </w:pPr>
      <w:r>
        <w:t xml:space="preserve">Elda Gaino, G.B. &amp; Magnino, G. (1999).</w:t>
      </w:r>
      <w:r>
        <w:t xml:space="preserve"> </w:t>
      </w:r>
      <w:hyperlink r:id="rId228">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229"/>
    <w:bookmarkStart w:id="230"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230"/>
    <w:bookmarkStart w:id="231"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231"/>
    <w:bookmarkStart w:id="232"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232"/>
    <w:bookmarkStart w:id="233"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233"/>
    <w:bookmarkStart w:id="234"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234"/>
    <w:bookmarkStart w:id="235"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235"/>
    <w:bookmarkStart w:id="236"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236"/>
    <w:bookmarkStart w:id="237"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237"/>
    <w:bookmarkStart w:id="238" w:name="ref-gould1991a"/>
    <w:p>
      <w:pPr>
        <w:pStyle w:val="Bibliography"/>
      </w:pPr>
      <w:r>
        <w:t xml:space="preserve">Gould, S.J. (1991). The smoking gun of eugenics.</w:t>
      </w:r>
      <w:r>
        <w:t xml:space="preserve"> </w:t>
      </w:r>
      <w:r>
        <w:rPr>
          <w:iCs/>
          <w:i/>
        </w:rPr>
        <w:t xml:space="preserve">Natural History</w:t>
      </w:r>
      <w:r>
        <w:t xml:space="preserve">, 100, 8–17.</w:t>
      </w:r>
    </w:p>
    <w:bookmarkEnd w:id="238"/>
    <w:bookmarkStart w:id="239" w:name="ref-hamilton1975a"/>
    <w:p>
      <w:pPr>
        <w:pStyle w:val="Bibliography"/>
      </w:pPr>
      <w:r>
        <w:t xml:space="preserve">Hamilton, W.D. (1975).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239"/>
    <w:bookmarkStart w:id="240" w:name="ref-hamilton1980a"/>
    <w:p>
      <w:pPr>
        <w:pStyle w:val="Bibliography"/>
      </w:pPr>
      <w:r>
        <w:t xml:space="preserve">Hamilton, W.D. (1980). Sex versus non-sex versus parasite.</w:t>
      </w:r>
      <w:r>
        <w:t xml:space="preserve"> </w:t>
      </w:r>
      <w:r>
        <w:rPr>
          <w:iCs/>
          <w:i/>
        </w:rPr>
        <w:t xml:space="preserve">Oikos</w:t>
      </w:r>
      <w:r>
        <w:t xml:space="preserve">, 35, 282–290.</w:t>
      </w:r>
    </w:p>
    <w:bookmarkEnd w:id="240"/>
    <w:bookmarkStart w:id="241"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241"/>
    <w:bookmarkStart w:id="242"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242"/>
    <w:bookmarkStart w:id="243"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243"/>
    <w:bookmarkStart w:id="244"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244"/>
    <w:bookmarkStart w:id="246" w:name="ref-kelley1993a"/>
    <w:p>
      <w:pPr>
        <w:pStyle w:val="Bibliography"/>
      </w:pPr>
      <w:r>
        <w:t xml:space="preserve">Kelley, S.E. (1993).</w:t>
      </w:r>
      <w:r>
        <w:t xml:space="preserve"> </w:t>
      </w:r>
      <w:hyperlink r:id="rId245">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246"/>
    <w:bookmarkStart w:id="248" w:name="ref-kelley1994a"/>
    <w:p>
      <w:pPr>
        <w:pStyle w:val="Bibliography"/>
      </w:pPr>
      <w:r>
        <w:t xml:space="preserve">Kelley, S.E. (1994).</w:t>
      </w:r>
      <w:r>
        <w:t xml:space="preserve"> </w:t>
      </w:r>
      <w:hyperlink r:id="rId247">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248"/>
    <w:bookmarkStart w:id="249"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249"/>
    <w:bookmarkStart w:id="250"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250"/>
    <w:bookmarkStart w:id="251"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251"/>
    <w:bookmarkStart w:id="252"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252"/>
    <w:bookmarkStart w:id="253"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253"/>
    <w:bookmarkStart w:id="254"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254"/>
    <w:bookmarkStart w:id="255"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255"/>
    <w:bookmarkStart w:id="256"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256"/>
    <w:bookmarkStart w:id="258" w:name="ref-levri2000a"/>
    <w:p>
      <w:pPr>
        <w:pStyle w:val="Bibliography"/>
      </w:pPr>
      <w:r>
        <w:t xml:space="preserve">Levri, E.P. &amp; Fisher, L.M. (2000).</w:t>
      </w:r>
      <w:r>
        <w:t xml:space="preserve"> </w:t>
      </w:r>
      <w:hyperlink r:id="rId257">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258"/>
    <w:bookmarkStart w:id="259"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259"/>
    <w:bookmarkStart w:id="261" w:name="ref-lewontin1971a"/>
    <w:p>
      <w:pPr>
        <w:pStyle w:val="Bibliography"/>
      </w:pPr>
      <w:r>
        <w:t xml:space="preserve">Lewontin, R.C. (1971).</w:t>
      </w:r>
      <w:r>
        <w:t xml:space="preserve"> </w:t>
      </w:r>
      <w:hyperlink r:id="rId260">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261"/>
    <w:bookmarkStart w:id="262"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262"/>
    <w:bookmarkStart w:id="263"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263"/>
    <w:bookmarkStart w:id="265" w:name="ref-lively1986c"/>
    <w:p>
      <w:pPr>
        <w:pStyle w:val="Bibliography"/>
      </w:pPr>
      <w:r>
        <w:t xml:space="preserve">Lively, C.M. (1986c).</w:t>
      </w:r>
      <w:r>
        <w:t xml:space="preserve"> </w:t>
      </w:r>
      <w:hyperlink r:id="rId264">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265"/>
    <w:bookmarkStart w:id="266"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266"/>
    <w:bookmarkStart w:id="267"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267"/>
    <w:bookmarkStart w:id="268"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268"/>
    <w:bookmarkStart w:id="269" w:name="ref-lively1996a"/>
    <w:p>
      <w:pPr>
        <w:pStyle w:val="Bibliography"/>
      </w:pPr>
      <w:r>
        <w:t xml:space="preserve">Lively, C.M. (1996). Host-parasite coevolution and sex.</w:t>
      </w:r>
      <w:r>
        <w:t xml:space="preserve"> </w:t>
      </w:r>
      <w:r>
        <w:rPr>
          <w:iCs/>
          <w:i/>
        </w:rPr>
        <w:t xml:space="preserve">Bioscience</w:t>
      </w:r>
      <w:r>
        <w:t xml:space="preserve">, 46, 107–109.</w:t>
      </w:r>
    </w:p>
    <w:bookmarkEnd w:id="269"/>
    <w:bookmarkStart w:id="270"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270"/>
    <w:bookmarkStart w:id="272" w:name="ref-lively1999a"/>
    <w:p>
      <w:pPr>
        <w:pStyle w:val="Bibliography"/>
      </w:pPr>
      <w:r>
        <w:t xml:space="preserve">Lively, C.M. (1999b).</w:t>
      </w:r>
      <w:r>
        <w:t xml:space="preserve"> </w:t>
      </w:r>
      <w:hyperlink r:id="rId271">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272"/>
    <w:bookmarkStart w:id="273"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273"/>
    <w:bookmarkStart w:id="274" w:name="ref-lively2006a"/>
    <w:p>
      <w:pPr>
        <w:pStyle w:val="Bibliography"/>
      </w:pPr>
      <w:r>
        <w:t xml:space="preserve">Lively, C.M. (2006). The ecology of virulence.</w:t>
      </w:r>
      <w:r>
        <w:t xml:space="preserve"> </w:t>
      </w:r>
      <w:r>
        <w:rPr>
          <w:iCs/>
          <w:i/>
        </w:rPr>
        <w:t xml:space="preserve">Ecology Letters</w:t>
      </w:r>
      <w:r>
        <w:t xml:space="preserve">, 9, 1089–1095.</w:t>
      </w:r>
    </w:p>
    <w:bookmarkEnd w:id="274"/>
    <w:bookmarkStart w:id="275"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275"/>
    <w:bookmarkStart w:id="276"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276"/>
    <w:bookmarkStart w:id="278" w:name="ref-lively1994b"/>
    <w:p>
      <w:pPr>
        <w:pStyle w:val="Bibliography"/>
      </w:pPr>
      <w:r>
        <w:t xml:space="preserve">Lively, C.M. &amp; Johnson, S.G. (1994).</w:t>
      </w:r>
      <w:r>
        <w:t xml:space="preserve"> </w:t>
      </w:r>
      <w:hyperlink r:id="rId277">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278"/>
    <w:bookmarkStart w:id="280" w:name="ref-lively1995a"/>
    <w:p>
      <w:pPr>
        <w:pStyle w:val="Bibliography"/>
      </w:pPr>
      <w:r>
        <w:t xml:space="preserve">Lively, C.M., Johnson, S.G., Delph, L.F. &amp; Clay, K. (1995).</w:t>
      </w:r>
      <w:r>
        <w:t xml:space="preserve"> </w:t>
      </w:r>
      <w:hyperlink r:id="rId279">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280"/>
    <w:bookmarkStart w:id="281"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281"/>
    <w:bookmarkStart w:id="282"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282"/>
    <w:bookmarkStart w:id="284" w:name="ref-lively2022a"/>
    <w:p>
      <w:pPr>
        <w:pStyle w:val="Bibliography"/>
      </w:pPr>
      <w:r>
        <w:t xml:space="preserve">Lively, C.M. &amp; Wade, M.J. (2022).</w:t>
      </w:r>
      <w:r>
        <w:t xml:space="preserve"> </w:t>
      </w:r>
      <w:hyperlink r:id="rId283">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284"/>
    <w:bookmarkStart w:id="286" w:name="ref-lively2021a"/>
    <w:p>
      <w:pPr>
        <w:pStyle w:val="Bibliography"/>
      </w:pPr>
      <w:r>
        <w:t xml:space="preserve">Lively, C.M., Xu, J. &amp; Ben-Ami, F. (2021).</w:t>
      </w:r>
      <w:r>
        <w:t xml:space="preserve"> </w:t>
      </w:r>
      <w:hyperlink r:id="rId285">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286"/>
    <w:bookmarkStart w:id="287"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287"/>
    <w:bookmarkStart w:id="288"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288"/>
    <w:bookmarkStart w:id="289"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289"/>
    <w:bookmarkStart w:id="291" w:name="ref-may1983a"/>
    <w:p>
      <w:pPr>
        <w:pStyle w:val="Bibliography"/>
      </w:pPr>
      <w:r>
        <w:t xml:space="preserve">May, R.M. &amp; Anderson, R.M. (1983).</w:t>
      </w:r>
      <w:r>
        <w:t xml:space="preserve"> </w:t>
      </w:r>
      <w:hyperlink r:id="rId290">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291"/>
    <w:bookmarkStart w:id="292"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292"/>
    <w:bookmarkStart w:id="293"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293"/>
    <w:bookmarkStart w:id="294" w:name="ref-maynard1978a"/>
    <w:p>
      <w:pPr>
        <w:pStyle w:val="Bibliography"/>
      </w:pPr>
      <w:r>
        <w:t xml:space="preserve">Maynard Smith, J. (1978).</w:t>
      </w:r>
      <w:r>
        <w:t xml:space="preserve"> </w:t>
      </w:r>
      <w:r>
        <w:rPr>
          <w:iCs/>
          <w:i/>
        </w:rPr>
        <w:t xml:space="preserve">The evolution of sex</w:t>
      </w:r>
      <w:r>
        <w:t xml:space="preserve">. Cambridge University Press.</w:t>
      </w:r>
    </w:p>
    <w:bookmarkEnd w:id="294"/>
    <w:bookmarkStart w:id="296" w:name="ref-maynard1980a"/>
    <w:p>
      <w:pPr>
        <w:pStyle w:val="Bibliography"/>
      </w:pPr>
      <w:r>
        <w:t xml:space="preserve">Maynard Smith, J. &amp; Hoekstra, R. (1980).</w:t>
      </w:r>
      <w:r>
        <w:t xml:space="preserve"> </w:t>
      </w:r>
      <w:hyperlink r:id="rId295">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296"/>
    <w:bookmarkStart w:id="297"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297"/>
    <w:bookmarkStart w:id="298"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298"/>
    <w:bookmarkStart w:id="299"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299"/>
    <w:bookmarkStart w:id="300" w:name="ref-oka1970a"/>
    <w:p>
      <w:pPr>
        <w:pStyle w:val="Bibliography"/>
      </w:pPr>
      <w:r>
        <w:t xml:space="preserve">Oka, H. (1970). Colony specificity in compound ascidians: The genetic control of fusibility. In:</w:t>
      </w:r>
      <w:r>
        <w:t xml:space="preserve"> </w:t>
      </w:r>
      <w:r>
        <w:rPr>
          <w:iCs/>
          <w:i/>
        </w:rPr>
        <w:t xml:space="preserve">Profiles of japanese science and scientists</w:t>
      </w:r>
      <w:r>
        <w:t xml:space="preserve"> </w:t>
      </w:r>
      <w:r>
        <w:t xml:space="preserve">(ed. Yukawa, H.). Kodansha, Tokyo, pp. 196–206.</w:t>
      </w:r>
    </w:p>
    <w:bookmarkEnd w:id="300"/>
    <w:bookmarkStart w:id="301"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301"/>
    <w:bookmarkStart w:id="302"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302"/>
    <w:bookmarkStart w:id="303"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303"/>
    <w:bookmarkStart w:id="304"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304"/>
    <w:bookmarkStart w:id="305"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305"/>
    <w:bookmarkStart w:id="307" w:name="ref-phillips1990a"/>
    <w:p>
      <w:pPr>
        <w:pStyle w:val="Bibliography"/>
      </w:pPr>
      <w:r>
        <w:t xml:space="preserve">Phillips, N.R. &amp; Lambert, D.M. (1990).</w:t>
      </w:r>
      <w:r>
        <w:t xml:space="preserve"> </w:t>
      </w:r>
      <w:hyperlink r:id="rId306">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307"/>
    <w:bookmarkStart w:id="308" w:name="ref-platt1964a"/>
    <w:p>
      <w:pPr>
        <w:pStyle w:val="Bibliography"/>
      </w:pPr>
      <w:r>
        <w:t xml:space="preserve">Platt, J.R. (1964). Strong inference.</w:t>
      </w:r>
      <w:r>
        <w:t xml:space="preserve"> </w:t>
      </w:r>
      <w:r>
        <w:rPr>
          <w:iCs/>
          <w:i/>
        </w:rPr>
        <w:t xml:space="preserve">Science</w:t>
      </w:r>
      <w:r>
        <w:t xml:space="preserve">, 146, 347–353.</w:t>
      </w:r>
    </w:p>
    <w:bookmarkEnd w:id="308"/>
    <w:bookmarkStart w:id="309"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309"/>
    <w:bookmarkStart w:id="310"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310"/>
    <w:bookmarkStart w:id="311"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311"/>
    <w:bookmarkStart w:id="312"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312"/>
    <w:bookmarkStart w:id="313"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313"/>
    <w:bookmarkStart w:id="314" w:name="ref-smith2003a"/>
    <w:p>
      <w:pPr>
        <w:pStyle w:val="Bibliography"/>
      </w:pPr>
      <w:r>
        <w:t xml:space="preserve">Smith, S. (n.d.).</w:t>
      </w:r>
      <w:r>
        <w:t xml:space="preserve"> </w:t>
      </w:r>
      <w:hyperlink r:id="rId97">
        <w:r>
          <w:rPr>
            <w:rStyle w:val="Hyperlink"/>
          </w:rPr>
          <w:t xml:space="preserve">The mathematician</w:t>
        </w:r>
        <w:r>
          <w:rPr>
            <w:rStyle w:val="Hyperlink"/>
          </w:rPr>
          <w:t xml:space="preserve"> </w:t>
        </w:r>
        <w:r>
          <w:rPr>
            <w:rStyle w:val="Hyperlink"/>
          </w:rPr>
          <w:t xml:space="preserve">Lewis Carroll</w:t>
        </w:r>
      </w:hyperlink>
      <w:r>
        <w:t xml:space="preserve">.</w:t>
      </w:r>
    </w:p>
    <w:bookmarkEnd w:id="314"/>
    <w:bookmarkStart w:id="315"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315"/>
    <w:bookmarkStart w:id="316"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316"/>
    <w:bookmarkStart w:id="317"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317"/>
    <w:bookmarkStart w:id="318"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318"/>
    <w:bookmarkStart w:id="319" w:name="ref-valen1973a"/>
    <w:p>
      <w:pPr>
        <w:pStyle w:val="Bibliography"/>
      </w:pPr>
      <w:r>
        <w:t xml:space="preserve">Valen, L. van. (1973). A new evolutionary law.</w:t>
      </w:r>
      <w:r>
        <w:t xml:space="preserve"> </w:t>
      </w:r>
      <w:r>
        <w:rPr>
          <w:iCs/>
          <w:i/>
        </w:rPr>
        <w:t xml:space="preserve">Evolutionary Theory</w:t>
      </w:r>
      <w:r>
        <w:t xml:space="preserve">, 1, 1–30.</w:t>
      </w:r>
    </w:p>
    <w:bookmarkEnd w:id="319"/>
    <w:bookmarkStart w:id="320"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320"/>
    <w:bookmarkStart w:id="321" w:name="ref-vrijenhoek1998a"/>
    <w:p>
      <w:pPr>
        <w:pStyle w:val="Bibliography"/>
      </w:pPr>
      <w:r>
        <w:t xml:space="preserve">Vrijenhoek, R.C. (1998). Animal clones and diversity.</w:t>
      </w:r>
      <w:r>
        <w:t xml:space="preserve"> </w:t>
      </w:r>
      <w:r>
        <w:rPr>
          <w:iCs/>
          <w:i/>
        </w:rPr>
        <w:t xml:space="preserve">Bioscience</w:t>
      </w:r>
      <w:r>
        <w:t xml:space="preserve">, 48, 617–628.</w:t>
      </w:r>
    </w:p>
    <w:bookmarkEnd w:id="321"/>
    <w:bookmarkStart w:id="322"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322"/>
    <w:bookmarkStart w:id="323" w:name="ref-wallace1975a"/>
    <w:p>
      <w:pPr>
        <w:pStyle w:val="Bibliography"/>
      </w:pPr>
      <w:r>
        <w:t xml:space="preserve">Wallace, B. (1975). Hard and soft selection revisited.</w:t>
      </w:r>
      <w:r>
        <w:t xml:space="preserve"> </w:t>
      </w:r>
      <w:r>
        <w:rPr>
          <w:iCs/>
          <w:i/>
        </w:rPr>
        <w:t xml:space="preserve">Evolution</w:t>
      </w:r>
      <w:r>
        <w:t xml:space="preserve">, 29, 465–473.</w:t>
      </w:r>
    </w:p>
    <w:bookmarkEnd w:id="323"/>
    <w:bookmarkStart w:id="324"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324"/>
    <w:bookmarkStart w:id="325" w:name="ref-williams1975a"/>
    <w:p>
      <w:pPr>
        <w:pStyle w:val="Bibliography"/>
      </w:pPr>
      <w:r>
        <w:t xml:space="preserve">Williams, G.C. (1975).</w:t>
      </w:r>
      <w:r>
        <w:t xml:space="preserve"> </w:t>
      </w:r>
      <w:r>
        <w:rPr>
          <w:iCs/>
          <w:i/>
        </w:rPr>
        <w:t xml:space="preserve">Sex and evolution</w:t>
      </w:r>
      <w:r>
        <w:t xml:space="preserve">. Princeton University Press.</w:t>
      </w:r>
    </w:p>
    <w:bookmarkEnd w:id="325"/>
    <w:bookmarkStart w:id="326"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326"/>
    <w:bookmarkStart w:id="327" w:name="ref-winterbourn1973a"/>
    <w:p>
      <w:pPr>
        <w:pStyle w:val="Bibliography"/>
      </w:pPr>
      <w:r>
        <w:t xml:space="preserve">Winterbourn, M.J. (1973). Larval trematoda 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327"/>
    <w:bookmarkStart w:id="328"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328"/>
    <w:bookmarkEnd w:id="329"/>
    <w:bookmarkEnd w:id="330"/>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39">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48">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57">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58">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59">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5</w:t>
        </w:r>
      </w:hyperlink>
      <w:r>
        <w:t xml:space="preserve">.</w:t>
      </w:r>
    </w:p>
  </w:footnote>
  <w:footnote w:id="65">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72">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73">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74">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76">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78">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79">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5</w:t>
        </w:r>
      </w:hyperlink>
      <w:r>
        <w:t xml:space="preserve">.</w:t>
      </w:r>
    </w:p>
  </w:footnote>
  <w:footnote w:id="84">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87">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96">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98">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00">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 </w:t>
      </w:r>
      <w:r>
        <w:t xml:space="preserve">(Levins 1966)</w:t>
      </w:r>
      <w:r>
        <w:t xml:space="preserve">.</w:t>
      </w:r>
    </w:p>
  </w:footnote>
  <w:footnote w:id="101">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102">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03">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104">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10">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19">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20">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29">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130">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131">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132">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5</w:t>
        </w:r>
      </w:hyperlink>
      <w:r>
        <w:t xml:space="preserve">.</w:t>
      </w:r>
    </w:p>
  </w:footnote>
  <w:footnote w:id="138">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1">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142">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3">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4">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 </w:t>
      </w:r>
      <w:r>
        <w:t xml:space="preserve">(Levins 1966)</w:t>
      </w:r>
      <w:r>
        <w:t xml:space="preserve">.</w:t>
      </w:r>
    </w:p>
  </w:footnote>
  <w:footnote w:id="145">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146">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5">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156">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57">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58">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(Anderson &amp; May 1979; May &amp; Anderson 1979)</w:t>
      </w:r>
      <w:r>
        <w:t xml:space="preserve">. Virulence may also be density dependent</w:t>
      </w:r>
      <w:r>
        <w:t xml:space="preserve"> </w:t>
      </w:r>
      <w:r>
        <w:t xml:space="preserve">(Bell</w:t>
      </w:r>
      <w:r>
        <w:t xml:space="preserve"> </w:t>
      </w:r>
      <w:r>
        <w:rPr>
          <w:iCs/>
          <w:i/>
        </w:rPr>
        <w:t xml:space="preserve">et al.</w:t>
      </w:r>
      <w:r>
        <w:t xml:space="preserve"> </w:t>
      </w:r>
      <w:r>
        <w:t xml:space="preserve">2006; Lively</w:t>
      </w:r>
      <w:r>
        <w:t xml:space="preserve"> </w:t>
      </w:r>
      <w:r>
        <w:rPr>
          <w:iCs/>
          <w:i/>
        </w:rPr>
        <w:t xml:space="preserve">et al.</w:t>
      </w:r>
      <w:r>
        <w:t xml:space="preserve"> </w:t>
      </w:r>
      <w:r>
        <w:t xml:space="preserve">1995; Lively 2006)</w:t>
      </w:r>
      <w:r>
        <w:t xml:space="preserve">. Habitat partitioning may also play a role in the distribution of sexual females among depth-stratified habitats</w:t>
      </w:r>
      <w:r>
        <w:t xml:space="preserve"> </w:t>
      </w:r>
      <w:r>
        <w:t xml:space="preserve">(Negovetic &amp; Jokela 2001)</w:t>
      </w:r>
      <w:r>
        <w:t xml:space="preserve">.</w:t>
      </w:r>
    </w:p>
  </w:footnote>
  <w:footnote w:id="162">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callout-4">
        <w:r>
          <w:rPr>
            <w:rStyle w:val="Hyperlink"/>
          </w:rPr>
          <w:t xml:space="preserve">Box 3.1</w:t>
        </w:r>
      </w:hyperlink>
      <w:r>
        <w:t xml:space="preserve">, different strategies are favored for different combinations of variables (i.e., different parts of the parameter space).</w:t>
      </w:r>
    </w:p>
  </w:footnote>
  <w:footnote w:id="171">
    <w:p>
      <w:pPr>
        <w:pStyle w:val="FootnoteText"/>
      </w:pPr>
      <w:r>
        <w:rPr>
          <w:rStyle w:val="FootnoteReference"/>
        </w:rPr>
        <w:footnoteRef/>
      </w:r>
      <w:r>
        <w:t xml:space="preserve"> </w:t>
      </w:r>
      <w:r>
        <w:t xml:space="preserve">The trematode worm was not formally described until 30 years later</w:t>
      </w:r>
      <w:r>
        <w:t xml:space="preserve"> </w:t>
      </w:r>
      <w:r>
        <w:t xml:space="preserve">(Blasco-Costa</w:t>
      </w:r>
      <w:r>
        <w:t xml:space="preserve"> </w:t>
      </w:r>
      <w:r>
        <w:rPr>
          <w:iCs/>
          <w:i/>
        </w:rPr>
        <w:t xml:space="preserve">et al.</w:t>
      </w:r>
      <w:r>
        <w:t xml:space="preserve"> </w:t>
      </w:r>
      <w:r>
        <w:t xml:space="preserve">2019)</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87">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93">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49" Target="media/rId49.png" /><Relationship Type="http://schemas.openxmlformats.org/officeDocument/2006/relationships/image" Id="rId29" Target="media/rId29.png" /><Relationship Type="http://schemas.openxmlformats.org/officeDocument/2006/relationships/image" Id="rId35" Target="media/rId35.jpg" /><Relationship Type="http://schemas.openxmlformats.org/officeDocument/2006/relationships/image" Id="rId41" Target="media/rId41.png" /><Relationship Type="http://schemas.openxmlformats.org/officeDocument/2006/relationships/image" Id="rId53" Target="media/rId53.jpg" /><Relationship Type="http://schemas.openxmlformats.org/officeDocument/2006/relationships/image" Id="rId69" Target="media/rId69.jpg" /><Relationship Type="http://schemas.openxmlformats.org/officeDocument/2006/relationships/image" Id="rId80" Target="media/rId80.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111" Target="media/rId111.png" /><Relationship Type="http://schemas.openxmlformats.org/officeDocument/2006/relationships/image" Id="rId116" Target="media/rId116.jpg" /><Relationship Type="http://schemas.openxmlformats.org/officeDocument/2006/relationships/image" Id="rId121" Target="media/rId121.jpg" /><Relationship Type="http://schemas.openxmlformats.org/officeDocument/2006/relationships/image" Id="rId125" Target="media/rId125.jpg" /><Relationship Type="http://schemas.openxmlformats.org/officeDocument/2006/relationships/image" Id="rId133" Target="media/rId133.jp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63" Target="media/rId163.png" /><Relationship Type="http://schemas.openxmlformats.org/officeDocument/2006/relationships/image" Id="rId168" Target="media/rId168.jpg" /><Relationship Type="http://schemas.openxmlformats.org/officeDocument/2006/relationships/image" Id="rId172" Target="media/rId172.jpg" /><Relationship Type="http://schemas.openxmlformats.org/officeDocument/2006/relationships/image" Id="rId175" Target="media/rId175.jp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94" Target="media/rId194.jpg" /><Relationship Type="http://schemas.openxmlformats.org/officeDocument/2006/relationships/hyperlink" Id="rId97" Target="http://www.herkimershideaway.org/writings/carroll.htm" TargetMode="External" /><Relationship Type="http://schemas.openxmlformats.org/officeDocument/2006/relationships/hyperlink" Id="rId45" Target="https://connect.posit.iu.edu/clonal-invasion-dynamics/" TargetMode="External" /><Relationship Type="http://schemas.openxmlformats.org/officeDocument/2006/relationships/hyperlink" Id="rId283" Target="https://doi.org/10.1002/ece3.9136" TargetMode="External" /><Relationship Type="http://schemas.openxmlformats.org/officeDocument/2006/relationships/hyperlink" Id="rId295" Target="https://doi.org/10.1017/S0016672300013926" TargetMode="External" /><Relationship Type="http://schemas.openxmlformats.org/officeDocument/2006/relationships/hyperlink" Id="rId211" Target="https://doi.org/10.1017/S0022149X19000993" TargetMode="External" /><Relationship Type="http://schemas.openxmlformats.org/officeDocument/2006/relationships/hyperlink" Id="rId260" Target="https://doi.org/10.1073/pnas.68.5.984" TargetMode="External" /><Relationship Type="http://schemas.openxmlformats.org/officeDocument/2006/relationships/hyperlink" Id="rId306" Target="https://doi.org/10.1080/03014223.1990.10422600" TargetMode="External" /><Relationship Type="http://schemas.openxmlformats.org/officeDocument/2006/relationships/hyperlink" Id="rId228" Target="https://doi.org/10.1080/11250009909356270" TargetMode="External" /><Relationship Type="http://schemas.openxmlformats.org/officeDocument/2006/relationships/hyperlink" Id="rId271" Target="https://doi.org/10.1086/303210" TargetMode="External" /><Relationship Type="http://schemas.openxmlformats.org/officeDocument/2006/relationships/hyperlink" Id="rId285" Target="https://doi.org/10.1098/rsbl.2021.0321" TargetMode="External" /><Relationship Type="http://schemas.openxmlformats.org/officeDocument/2006/relationships/hyperlink" Id="rId290" Target="https://doi.org/10.1098/rspb.1983.0075" TargetMode="External" /><Relationship Type="http://schemas.openxmlformats.org/officeDocument/2006/relationships/hyperlink" Id="rId277" Target="https://doi.org/10.1098/rspb.1994.0054" TargetMode="External" /><Relationship Type="http://schemas.openxmlformats.org/officeDocument/2006/relationships/hyperlink" Id="rId247" Target="https://doi.org/10.1098/rstb.1994.0146" TargetMode="External" /><Relationship Type="http://schemas.openxmlformats.org/officeDocument/2006/relationships/hyperlink" Id="rId222" Target="https://doi.org/10.1111/j.1095-8312.1862.tb01218.x" TargetMode="External" /><Relationship Type="http://schemas.openxmlformats.org/officeDocument/2006/relationships/hyperlink" Id="rId245" Target="https://doi.org/10.1111/j.1442-1984.1993.tb00072.x" TargetMode="External" /><Relationship Type="http://schemas.openxmlformats.org/officeDocument/2006/relationships/hyperlink" Id="rId209" Target="https://doi.org/10.1111/j.1461-0248.2006.00905.x" TargetMode="External" /><Relationship Type="http://schemas.openxmlformats.org/officeDocument/2006/relationships/hyperlink" Id="rId264" Target="https://doi.org/10.1111/j.1558-5646.1986.tb00466.x" TargetMode="External" /><Relationship Type="http://schemas.openxmlformats.org/officeDocument/2006/relationships/hyperlink" Id="rId257" Target="https://doi.org/10.1163/156853900502565" TargetMode="External" /><Relationship Type="http://schemas.openxmlformats.org/officeDocument/2006/relationships/hyperlink" Id="rId279" Target="https://doi.org/10.2307/1940718" TargetMode="External" /><Relationship Type="http://schemas.openxmlformats.org/officeDocument/2006/relationships/hyperlink" Id="rId220" Target="https://doi.org/10.3998/ptb.6959004.0008.003" TargetMode="External" /><Relationship Type="http://schemas.openxmlformats.org/officeDocument/2006/relationships/hyperlink" Id="rId26" Target="https://doi.org/10.5967/GBD3-KA07" TargetMode="External" /><Relationship Type="http://schemas.openxmlformats.org/officeDocument/2006/relationships/hyperlink" Id="rId85" Target="https://iulibscholcomm.github.io/through-the-looking-glass/eco-hyp-cont.html#callout-4" TargetMode="External" /><Relationship Type="http://schemas.openxmlformats.org/officeDocument/2006/relationships/hyperlink" Id="rId24" Target="https://libraries.indiana.edu/scholarly-communication" TargetMode="External" /><Relationship Type="http://schemas.openxmlformats.org/officeDocument/2006/relationships/hyperlink" Id="rId44" Target="https://raw.githubusercontent.com/IULibScholComm/through-the-looking-glass/main/sim%20for%20fig%201.2(ZMD).R" TargetMode="External" /><Relationship Type="http://schemas.openxmlformats.org/officeDocument/2006/relationships/hyperlink" Id="rId136" Target="https://www.bartzijlstra.com" TargetMode="External" /><Relationship Type="http://schemas.openxmlformats.org/officeDocument/2006/relationships/hyperlink" Id="rId225" Target="https://www.darwinproject.ac.uk/letter/?docId=letters/DCP-LETT-2869.xml"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97" Target="http://www.herkimershideaway.org/writings/carroll.htm" TargetMode="External" /><Relationship Type="http://schemas.openxmlformats.org/officeDocument/2006/relationships/hyperlink" Id="rId45" Target="https://connect.posit.iu.edu/clonal-invasion-dynamics/" TargetMode="External" /><Relationship Type="http://schemas.openxmlformats.org/officeDocument/2006/relationships/hyperlink" Id="rId283" Target="https://doi.org/10.1002/ece3.9136" TargetMode="External" /><Relationship Type="http://schemas.openxmlformats.org/officeDocument/2006/relationships/hyperlink" Id="rId295" Target="https://doi.org/10.1017/S0016672300013926" TargetMode="External" /><Relationship Type="http://schemas.openxmlformats.org/officeDocument/2006/relationships/hyperlink" Id="rId211" Target="https://doi.org/10.1017/S0022149X19000993" TargetMode="External" /><Relationship Type="http://schemas.openxmlformats.org/officeDocument/2006/relationships/hyperlink" Id="rId260" Target="https://doi.org/10.1073/pnas.68.5.984" TargetMode="External" /><Relationship Type="http://schemas.openxmlformats.org/officeDocument/2006/relationships/hyperlink" Id="rId306" Target="https://doi.org/10.1080/03014223.1990.10422600" TargetMode="External" /><Relationship Type="http://schemas.openxmlformats.org/officeDocument/2006/relationships/hyperlink" Id="rId228" Target="https://doi.org/10.1080/11250009909356270" TargetMode="External" /><Relationship Type="http://schemas.openxmlformats.org/officeDocument/2006/relationships/hyperlink" Id="rId271" Target="https://doi.org/10.1086/303210" TargetMode="External" /><Relationship Type="http://schemas.openxmlformats.org/officeDocument/2006/relationships/hyperlink" Id="rId285" Target="https://doi.org/10.1098/rsbl.2021.0321" TargetMode="External" /><Relationship Type="http://schemas.openxmlformats.org/officeDocument/2006/relationships/hyperlink" Id="rId290" Target="https://doi.org/10.1098/rspb.1983.0075" TargetMode="External" /><Relationship Type="http://schemas.openxmlformats.org/officeDocument/2006/relationships/hyperlink" Id="rId277" Target="https://doi.org/10.1098/rspb.1994.0054" TargetMode="External" /><Relationship Type="http://schemas.openxmlformats.org/officeDocument/2006/relationships/hyperlink" Id="rId247" Target="https://doi.org/10.1098/rstb.1994.0146" TargetMode="External" /><Relationship Type="http://schemas.openxmlformats.org/officeDocument/2006/relationships/hyperlink" Id="rId222" Target="https://doi.org/10.1111/j.1095-8312.1862.tb01218.x" TargetMode="External" /><Relationship Type="http://schemas.openxmlformats.org/officeDocument/2006/relationships/hyperlink" Id="rId245" Target="https://doi.org/10.1111/j.1442-1984.1993.tb00072.x" TargetMode="External" /><Relationship Type="http://schemas.openxmlformats.org/officeDocument/2006/relationships/hyperlink" Id="rId209" Target="https://doi.org/10.1111/j.1461-0248.2006.00905.x" TargetMode="External" /><Relationship Type="http://schemas.openxmlformats.org/officeDocument/2006/relationships/hyperlink" Id="rId264" Target="https://doi.org/10.1111/j.1558-5646.1986.tb00466.x" TargetMode="External" /><Relationship Type="http://schemas.openxmlformats.org/officeDocument/2006/relationships/hyperlink" Id="rId257" Target="https://doi.org/10.1163/156853900502565" TargetMode="External" /><Relationship Type="http://schemas.openxmlformats.org/officeDocument/2006/relationships/hyperlink" Id="rId279" Target="https://doi.org/10.2307/1940718" TargetMode="External" /><Relationship Type="http://schemas.openxmlformats.org/officeDocument/2006/relationships/hyperlink" Id="rId220" Target="https://doi.org/10.3998/ptb.6959004.0008.003" TargetMode="External" /><Relationship Type="http://schemas.openxmlformats.org/officeDocument/2006/relationships/hyperlink" Id="rId26" Target="https://doi.org/10.5967/GBD3-KA07" TargetMode="External" /><Relationship Type="http://schemas.openxmlformats.org/officeDocument/2006/relationships/hyperlink" Id="rId85" Target="https://iulibscholcomm.github.io/through-the-looking-glass/eco-hyp-cont.html#callout-4" TargetMode="External" /><Relationship Type="http://schemas.openxmlformats.org/officeDocument/2006/relationships/hyperlink" Id="rId24" Target="https://libraries.indiana.edu/scholarly-communication" TargetMode="External" /><Relationship Type="http://schemas.openxmlformats.org/officeDocument/2006/relationships/hyperlink" Id="rId44" Target="https://raw.githubusercontent.com/IULibScholComm/through-the-looking-glass/main/sim%20for%20fig%201.2(ZMD).R" TargetMode="External" /><Relationship Type="http://schemas.openxmlformats.org/officeDocument/2006/relationships/hyperlink" Id="rId136" Target="https://www.bartzijlstra.com" TargetMode="External" /><Relationship Type="http://schemas.openxmlformats.org/officeDocument/2006/relationships/hyperlink" Id="rId225" Target="https://www.darwinproject.ac.uk/letter/?docId=letters/DCP-LETT-2869.xml"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language>en-US</dc:language>
  <cp:keywords/>
  <dcterms:created xsi:type="dcterms:W3CDTF">2023-12-06T23:42:16Z</dcterms:created>
  <dcterms:modified xsi:type="dcterms:W3CDTF">2023-12-06T23:42:16Z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csl">
    <vt:lpwstr>ecology-letters.csl</vt:lpwstr>
  </property>
  <property fmtid="{D5CDD505-2E9C-101B-9397-08002B2CF9AE}" pid="12" name="date">
    <vt:lpwstr>06 December 2023</vt:lpwstr>
  </property>
  <property fmtid="{D5CDD505-2E9C-101B-9397-08002B2CF9AE}" pid="13" name="date-format">
    <vt:lpwstr>DD MMMM YYYY</vt:lpwstr>
  </property>
  <property fmtid="{D5CDD505-2E9C-101B-9397-08002B2CF9AE}" pid="14" name="doi">
    <vt:lpwstr>10.5967/gbd3-ka07</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toc-title">
    <vt:lpwstr>Contents</vt:lpwstr>
  </property>
</Properties>
</file>